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240 AEUV — (ex-Artikel 207 EGV)</w:t>
      </w:r>
    </w:p>
    <w:p>
      <w:r>
        <w:rPr>
          <w:color w:val="555555"/>
          <w:sz w:val="18"/>
        </w:rPr>
        <w:t xml:space="preserve">AEUV</w:t>
      </w:r>
    </w:p>
    <w:p>
      <w:r>
        <w:rPr>
          <w:color w:val="555555"/>
          <w:sz w:val="18"/>
        </w:rPr>
        <w:t xml:space="preserve">Stand: 22.07.2026 (konsolidierte Textfassung, kein amtliches Inkrafttretensdatum)</w:t>
      </w:r>
    </w:p>
    <w:p>
      <w:r>
        <w:t xml:space="preserve">(1) Ein Ausschuss, der sich aus den Ständigen Vertretern der Regierungen der Mitgliedstaaten zusammensetzt, trägt die Verantwortung, die Arbeiten des Rates vorzubereiten und die ihm vom Rat übertragenen Aufträge auszuführen. Der Ausschuss kann in Fällen, die in der Geschäftsordnung des Rates vorgesehen sind, Verfahrensbeschlüsse fassen.</w:t>
      </w:r>
    </w:p>
    <w:p>
      <w:r>
        <w:t xml:space="preserve">(2) Der Rat wird von einem Generalsekretariat unterstützt, das einem vom Rat ernannten Generalsekretär untersteht.</w:t>
      </w:r>
    </w:p>
    <w:p>
      <w:r>
        <w:t xml:space="preserve">Der Rat beschließt mit einfacher Mehrheit über die Organisation des Generalsekretariats.</w:t>
      </w:r>
    </w:p>
    <w:p>
      <w:r>
        <w:t xml:space="preserve">(3) Der Rat beschließt mit einfacher Mehrheit über Verfahrensfragen sowie über den Erlass seiner Geschäftsordnung.</w:t>
      </w:r>
    </w:p>
    <w:p>
      <w:r>
        <w:rPr>
          <w:color w:val="555555"/>
          <w:sz w:val="17"/>
        </w:rPr>
        <w:t xml:space="preserve">Zitiervorschlag: Art 240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