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24 AEUV — (ex-Artikel 21 EGV)</w:t>
      </w:r>
    </w:p>
    <w:p>
      <w:r>
        <w:rPr>
          <w:color w:val="555555"/>
          <w:sz w:val="18"/>
        </w:rPr>
        <w:t xml:space="preserve">AEUV</w:t>
      </w:r>
    </w:p>
    <w:p>
      <w:r>
        <w:rPr>
          <w:color w:val="555555"/>
          <w:sz w:val="18"/>
        </w:rPr>
        <w:t xml:space="preserve">Stand: 22.07.2026 (konsolidierte Textfassung, kein amtliches Inkrafttretensdatum)</w:t>
      </w:r>
    </w:p>
    <w:p>
      <w:r>
        <w:t xml:space="preserve">Die Bestimmungen über die Verfahren und Bedingungen, die für eine Bürgerinitiative im Sinne des Artikels 11 des Vertrags über die Europäische Union gelten, einschließlich der Mindestzahl der Mitgliedstaaten, aus denen die Bürgerinnen und Bürger, die diese Initiative ergreifen, kommen müssen, werden vom Europäischen Parlament und vom Rat gemäß dem ordentlichen Gesetzgebungsverfahren durch Verordnungen festgelegt.</w:t>
      </w:r>
    </w:p>
    <w:p>
      <w:r>
        <w:t xml:space="preserve">Jeder Unionsbürger besitzt das Petitionsrecht beim Europäischen Parlament nach Artikel 227.</w:t>
      </w:r>
    </w:p>
    <w:p>
      <w:r>
        <w:t xml:space="preserve">Jeder Unionsbürger kann sich an den nach Artikel 228 eingesetzten Bürgerbeauftragten wenden.</w:t>
      </w:r>
    </w:p>
    <w:p>
      <w:r>
        <w:t xml:space="preserve">Jeder Unionsbürger kann sich schriftlich in einer der in Artikel 55 Absatz 1 des Vertrags über die Europäische Union genannten Sprachen an jedes Organ oder an jede Einrichtung wenden, die in dem vorliegenden Artikel oder in Artikel 13 des genannten Vertrags genannt sind, und eine Antwort in derselben Sprache erhalten.</w:t>
      </w:r>
    </w:p>
    <w:p>
      <w:r>
        <w:rPr>
          <w:color w:val="555555"/>
          <w:sz w:val="17"/>
        </w:rPr>
        <w:t xml:space="preserve">Zitiervorschlag: Art 24 AEUV</w:t>
      </w:r>
    </w:p>
    <w:p>
      <w:r>
        <w:rPr>
          <w:color w:val="555555"/>
          <w:sz w:val="17"/>
        </w:rPr>
        <w:t xml:space="preserve">Quelle: EUR-Lex, abgerufen 22.07.2026</w:t>
      </w:r>
    </w:p>
    <w:p>
      <w:r>
        <w:rPr>
          <w:color w:val="555555"/>
          <w:sz w:val="17"/>
        </w:rPr>
        <w:t xml:space="preserve">Nicht-amtliche konsolidierte Fassung — verbindlich ist der im Amtsblatt der Europäischen Union veröffentlichte Wortlaut (eur-lex.europa.eu: https://eur-lex.europa.eu)</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https://recht.nulegal.eu/gesetze/AEUV/24</w:t>
      </w:r>
    </w:p>
    <w:p>
      <w:r>
        <w:rPr>
          <w:color w:val="767676"/>
          <w:sz w:val="15"/>
        </w:rPr>
        <w:t xml:space="preserve">nu:legal · recht.nulegal.eu · Nicht-amtliche Lesefassung. Amtliche Fassung: eur-lex.europa.eu</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