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236 AEUV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Der Europäische Rat erlässt mit qualifizierter Mehrheit</w:t>
      </w:r>
    </w:p>
    <w:p>
      <w:r>
        <w:t xml:space="preserve">a) einen Beschluss zur Festlegung der Zusammensetzungen des Rates, mit Ausnahme des Rates "Allgemeine Angelegenheiten" und des Rates "Auswärtige Angelegenheiten" nach Artikel 16 Absatz 6 des Vertrags über die Europäische Union;</w:t>
      </w:r>
    </w:p>
    <w:p>
      <w:r>
        <w:t xml:space="preserve">b) einen Beschluss nach Artikel 16 Absatz 9 des Vertrags über die Europäische Union zur Festlegung des Vorsitzes im Rat in allen seinen Zusammensetzungen mit Ausnahme des Rates "Auswärtige Angelegenheiten".</w:t>
      </w:r>
    </w:p>
    <w:p>
      <w:r>
        <w:rPr>
          <w:color w:val="555555"/>
          <w:sz w:val="17"/>
        </w:rPr>
        <w:t xml:space="preserve">Zitiervorschlag: Art 236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https://recht.nulegal.eu/gesetze/AEUV/236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