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235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Jedes Mitglied des Europäischen Rates kann sich das Stimmrecht höchstens eines anderen Mitglieds übertragen lassen.</w:t>
      </w:r>
    </w:p>
    <w:p>
      <w:r>
        <w:t xml:space="preserve">Beschließt der Europäische Rat mit qualifizierter Mehrheit, so gelten für ihn Artikel 16 Absatz 4 des Vertrags über die Europäische Union und Artikel 238 Absatz 2 dieses Vertrags. An Abstimmungen im Europäischen Rat nehmen dessen Präsident und der Präsident der Kommission nicht teil.</w:t>
      </w:r>
    </w:p>
    <w:p>
      <w:r>
        <w:t xml:space="preserve">Die Stimmenthaltung von anwesenden oder vertretenen Mitgliedern steht dem Zustandekommen von Beschlüssen des Europäischen Rates, zu denen Einstimmigkeit erforderlich ist, nicht entgegen.</w:t>
      </w:r>
    </w:p>
    <w:p>
      <w:r>
        <w:t xml:space="preserve">(2) Der Präsident des Europäischen Parlaments kann vom Europäischen Rat gehört werden.</w:t>
      </w:r>
    </w:p>
    <w:p>
      <w:r>
        <w:t xml:space="preserve">(3) Der Europäische Rat beschließt mit einfacher Mehrheit über Verfahrensfragen sowie über den Erlass seiner Geschäftsordnung.</w:t>
      </w:r>
    </w:p>
    <w:p>
      <w:r>
        <w:t xml:space="preserve">(4) Der Europäische Rat wird vom Generalsekretariat des Rates unterstützt.</w:t>
      </w:r>
    </w:p>
    <w:p>
      <w:r>
        <w:rPr>
          <w:color w:val="555555"/>
          <w:sz w:val="17"/>
        </w:rPr>
        <w:t xml:space="preserve">Zitiervorschlag: Art 235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