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232 AEUV — (ex-Artikel 199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Europäische Parlament gibt sich seine Geschäftsordnung; hierzu sind die Stimmen der Mehrheit seiner Mitglieder erforderlich.</w:t>
      </w:r>
    </w:p>
    <w:p>
      <w:r>
        <w:t xml:space="preserve">Die Verhandlungsniederschriften des Europäischen Parlaments werden nach Maßgabe der Verträge und seiner Geschäftsordnung veröffentlicht.</w:t>
      </w:r>
    </w:p>
    <w:p>
      <w:r>
        <w:rPr>
          <w:color w:val="555555"/>
          <w:sz w:val="17"/>
        </w:rPr>
        <w:t xml:space="preserve">Zitiervorschlag: Art 232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