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231 AEUV — (ex-Artikel 198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Soweit die Verträge nicht etwas anderes bestimmen, beschließt das Europäische Parlament mit der Mehrheit der abgegebenen Stimmen.</w:t>
      </w:r>
    </w:p>
    <w:p>
      <w:r>
        <w:t xml:space="preserve">Die Geschäftsordnung legt die Beschlussfähigkeit fest.</w:t>
      </w:r>
    </w:p>
    <w:p>
      <w:r>
        <w:rPr>
          <w:color w:val="555555"/>
          <w:sz w:val="17"/>
        </w:rPr>
        <w:t xml:space="preserve">Zitiervorschlag: Art 231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