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230 AEUV — (ex-Artikel 197 Absätze 2, 3 und 4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Kommission kann an allen Sitzungen des Europäischen Parlaments teilnehmen und wird auf ihren Antrag gehört.</w:t>
      </w:r>
    </w:p>
    <w:p>
      <w:r>
        <w:t xml:space="preserve">Die Kommission antwortet mündlich oder schriftlich auf die ihr vom Europäischen Parlament oder von dessen Mitgliedern gestellten Fragen.</w:t>
      </w:r>
    </w:p>
    <w:p>
      <w:r>
        <w:t xml:space="preserve">Der Europäische Rat und der Rat werden vom Europäischen Parlament nach Maßgabe der Geschäftsordnung des Europäischen Rates und der Geschäftsordnung des Rates gehört.</w:t>
      </w:r>
    </w:p>
    <w:p>
      <w:r>
        <w:rPr>
          <w:color w:val="555555"/>
          <w:sz w:val="17"/>
        </w:rPr>
        <w:t xml:space="preserve">Zitiervorschlag: Art 230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https://recht.nulegal.eu/gesetze/AEUV/230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