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227 AEUV — (ex-Artikel 194 EGV)</w:t>
      </w:r>
    </w:p>
    <w:p>
      <w:r>
        <w:rPr>
          <w:color w:val="555555"/>
          <w:sz w:val="18"/>
        </w:rPr>
        <w:t xml:space="preserve">AEUV</w:t>
      </w:r>
    </w:p>
    <w:p>
      <w:r>
        <w:rPr>
          <w:color w:val="555555"/>
          <w:sz w:val="18"/>
        </w:rPr>
        <w:t xml:space="preserve">Stand: 22.07.2026 (konsolidierte Textfassung, kein amtliches Inkrafttretensdatum)</w:t>
      </w:r>
    </w:p>
    <w:p>
      <w:r>
        <w:t xml:space="preserve">Jeder Bürger der Union sowie jede natürliche oder juristische Person mit Wohnort oder satzungsmäßigem Sitz in einem Mitgliedstaat kann allein oder zusammen mit anderen Bürgern oder Personen in Angelegenheiten, die in die Tätigkeitsbereiche der Union fallen und die ihn oder sie unmittelbar betreffen, eine Petition an das Europäische Parlament richten.</w:t>
      </w:r>
    </w:p>
    <w:p>
      <w:r>
        <w:rPr>
          <w:color w:val="555555"/>
          <w:sz w:val="17"/>
        </w:rPr>
        <w:t xml:space="preserve">Zitiervorschlag: Art 227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