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225 AEUV — (ex-Artikel 192 Absatz 2 EGV)</w:t>
      </w:r>
    </w:p>
    <w:p>
      <w:r>
        <w:rPr>
          <w:color w:val="555555"/>
          <w:sz w:val="18"/>
        </w:rPr>
        <w:t xml:space="preserve">AEUV</w:t>
      </w:r>
    </w:p>
    <w:p>
      <w:r>
        <w:rPr>
          <w:color w:val="555555"/>
          <w:sz w:val="18"/>
        </w:rPr>
        <w:t xml:space="preserve">Stand: 22.07.2026 (konsolidierte Textfassung, kein amtliches Inkrafttretensdatum)</w:t>
      </w:r>
    </w:p>
    <w:p>
      <w:r>
        <w:t xml:space="preserve">Das Europäische Parlament kann mit der Mehrheit seiner Mitglieder die Kommission auffordern, geeignete Vorschläge zu Fragen zu unterbreiten, die nach seiner Auffassung die Ausarbeitung eines Unionsakts zur Durchführung der Verträge erfordern. Legt die Kommission keinen Vorschlag vor, so teilt sie dem Europäischen Parlament die Gründe dafür mit.</w:t>
      </w:r>
    </w:p>
    <w:p>
      <w:r>
        <w:rPr>
          <w:color w:val="555555"/>
          <w:sz w:val="17"/>
        </w:rPr>
        <w:t xml:space="preserve">Zitiervorschlag: Art 225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https://recht.nulegal.eu/gesetze/AEUV/225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