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220 AEUV — (ex-Artikel 302 bis 304 EGV)</w:t>
      </w:r>
    </w:p>
    <w:p>
      <w:r>
        <w:rPr>
          <w:color w:val="555555"/>
          <w:sz w:val="18"/>
        </w:rPr>
        <w:t xml:space="preserve">AEUV</w:t>
      </w:r>
    </w:p>
    <w:p>
      <w:r>
        <w:rPr>
          <w:color w:val="555555"/>
          <w:sz w:val="18"/>
        </w:rPr>
        <w:t xml:space="preserve">Stand: 22.07.2026 (konsolidierte Textfassung, kein amtliches Inkrafttretensdatum)</w:t>
      </w:r>
    </w:p>
    <w:p>
      <w:r>
        <w:t xml:space="preserve">(1) Die Union betreibt jede zweckdienliche Zusammenarbeit mit den Organen der Vereinten Nationen und ihrer Sonderorganisationen, dem Europarat, der Organisation für Sicherheit und Zusammenarbeit in Europa und der Organisation für wirtschaftliche Zusammenarbeit und Entwicklung.</w:t>
      </w:r>
    </w:p>
    <w:p>
      <w:r>
        <w:t xml:space="preserve">Die Union unterhält ferner, soweit zweckdienlich, Beziehungen zu anderen internationalen Organisationen.</w:t>
      </w:r>
    </w:p>
    <w:p>
      <w:r>
        <w:t xml:space="preserve">(2) Die Durchführung dieses Artikels obliegt dem Hohen Vertreter der Union für Außen- und Sicherheitspolitik und der Kommission.</w:t>
      </w:r>
    </w:p>
    <w:p>
      <w:r>
        <w:rPr>
          <w:color w:val="555555"/>
          <w:sz w:val="17"/>
        </w:rPr>
        <w:t xml:space="preserve">Zitiervorschlag: Art 220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