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219 AEUV — (ex-Artikel 111 Absätze 1 bis 3 und Absatz 5 EGV)</w:t>
      </w:r>
    </w:p>
    <w:p>
      <w:r>
        <w:rPr>
          <w:color w:val="555555"/>
          <w:sz w:val="18"/>
        </w:rPr>
        <w:t xml:space="preserve">AEUV</w:t>
      </w:r>
    </w:p>
    <w:p>
      <w:r>
        <w:rPr>
          <w:color w:val="555555"/>
          <w:sz w:val="18"/>
        </w:rPr>
        <w:t xml:space="preserve">Stand: 22.07.2026 (konsolidierte Textfassung, kein amtliches Inkrafttretensdatum)</w:t>
      </w:r>
    </w:p>
    <w:p>
      <w:r>
        <w:t xml:space="preserve">(1) Abweichend von Artikel 218 kann der Rat entweder auf Empfehlung der Europäischen Zentralbank oder auf Empfehlung der Kommission und nach Anhörung der Europäischen Zentralbank in dem Bemühen, zu einem mit dem Ziel der Preisstabilität im Einklang stehenden Konsens zu gelangen, förmliche Vereinbarungen über ein Wechselkurssystem für den Euro gegenüber den Währungen von Drittstaaten treffen. Der Rat beschließt nach dem Verfahren des Absatzes 3 einstimmig nach Anhörung des Europäischen Parlaments.</w:t>
      </w:r>
    </w:p>
    <w:p>
      <w:r>
        <w:t xml:space="preserve">Der Rat kann entweder auf Empfehlung der Europäischen Zentralbank oder auf Empfehlung der Kommission und nach Anhörung der Europäischen Zentralbank in dem Bemühen, zu einem mit dem Ziel der Preisstabilität im Einklang stehenden Konsens zu gelangen, die Euro-Leitkurse innerhalb des Wechselkurssystems festlegen, ändern oder aufgeben. Der Präsident des Rates unterrichtet das Europäische Parlament von der Festlegung, Änderung oder Aufgabe der Euro-Leitkurse.</w:t>
      </w:r>
    </w:p>
    <w:p>
      <w:r>
        <w:t xml:space="preserve">(2) Besteht gegenüber einer oder mehreren Währungen von Drittstaaten kein Wechselkurssystem nach Absatz 1, so kann der Rat entweder auf Empfehlung der Kommission und nach Anhörung der Europäischen Zentralbank oder auf Empfehlung der Europäischen Zentralbank allgemeine Orientierungen für die Wechselkurspolitik gegenüber diesen Währungen aufstellen. Diese allgemeinen Orientierungen dürfen das vorrangige Ziel des ESZB, die Preisstabilität zu gewährleisten, nicht beeinträchtigen.</w:t>
      </w:r>
    </w:p>
    <w:p>
      <w:r>
        <w:t xml:space="preserve">(3) Wenn von der Union mit einem oder mehreren Drittstaaten oder internationalen Organisationen Vereinbarungen im Zusammenhang mit Währungsfragen oder Devisenregelungen auszuhandeln sind, beschließt der Rat abweichend von Artikel 218 auf Empfehlung der Kommission und nach Anhörung der Europäischen Zentralbank die Modalitäten für die Aushandlung und den Abschluss solcher Vereinbarungen. Mit diesen Modalitäten wird gewährleistet, dass die Union einen einheitlichen Standpunkt vertritt. Die Kommission wird an den Verhandlungen in vollem Umfang beteiligt.</w:t>
      </w:r>
    </w:p>
    <w:p>
      <w:r>
        <w:t xml:space="preserve">(4) Die Mitgliedstaaten haben das Recht, unbeschadet der Unionszuständigkeit und der Unionsvereinbarungen über die Wirtschafts- und Währungsunion in internationalen Gremien Verhandlungen zu führen und internationale Vereinbarungen zu treffen.</w:t>
      </w:r>
    </w:p>
    <w:p>
      <w:r>
        <w:rPr>
          <w:color w:val="555555"/>
          <w:sz w:val="17"/>
        </w:rPr>
        <w:t xml:space="preserve">Zitiervorschlag: Art 219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