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215 AEUV — (ex-Artikel 301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Sieht ein nach Titel V Kapitel 2 des Vertrags über die Europäische Union erlassener Beschluss die Aussetzung, Einschränkung oder vollständige Einstellung der Wirtschafts- und Finanzbeziehungen zu einem oder mehreren Drittländern vor, so erlässt der Rat die erforderlichen Maßnahmen mit qualifizierter Mehrheit auf gemeinsamen Vorschlag des Hohen Vertreters der Union für Außen- und Sicherheitspolitik und der Kommission. Er unterrichtet hierüber das Europäische Parlament.</w:t>
      </w:r>
    </w:p>
    <w:p>
      <w:r>
        <w:t xml:space="preserve">(2) Sieht ein nach Titel V Kapitel 2 des Vertrags über die Europäische Union erlassener Beschluss dies vor, so kann der Rat nach dem Verfahren des Absatzes 1 restriktive Maßnahmen gegen natürliche oder juristische Personen sowie Gruppierungen oder nichtstaatliche Einheiten erlassen.</w:t>
      </w:r>
    </w:p>
    <w:p>
      <w:r>
        <w:t xml:space="preserve">(3) In den Rechtsakten nach diesem Artikel müssen die erforderlichen Bestimmungen über den Rechtsschutz vorgesehen sein.</w:t>
      </w:r>
    </w:p>
    <w:p>
      <w:r>
        <w:rPr>
          <w:color w:val="555555"/>
          <w:sz w:val="17"/>
        </w:rPr>
        <w:t xml:space="preserve">Zitiervorschlag: Art 215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https://recht.nulegal.eu/gesetze/AEUV/215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