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214 AEUV</w:t>
      </w:r>
    </w:p>
    <w:p>
      <w:r>
        <w:rPr>
          <w:color w:val="555555"/>
          <w:sz w:val="18"/>
        </w:rPr>
        <w:t xml:space="preserve">AEUV</w:t>
      </w:r>
    </w:p>
    <w:p>
      <w:r>
        <w:rPr>
          <w:color w:val="555555"/>
          <w:sz w:val="18"/>
        </w:rPr>
        <w:t xml:space="preserve">Stand: 22.07.2026 (konsolidierte Textfassung, kein amtliches Inkrafttretensdatum)</w:t>
      </w:r>
    </w:p>
    <w:p>
      <w:r>
        <w:t xml:space="preserve">(1) Den Rahmen für die Maßnahmen der Union im Bereich der humanitären Hilfe bilden die Grundsätze und Ziele des auswärtigen Handelns der Union. Die Maßnahmen dienen dazu, Einwohnern von Drittländern, die von Naturkatastrophen oder von vom Menschen verursachten Katastrophen betroffen sind, gezielt Hilfe, Rettung und Schutz zu bringen, damit die aus diesen Notständen resultierenden humanitären Bedürfnisse gedeckt werden können. Die Maßnahmen der Union und die Maßnahmen der Mitgliedstaaten ergänzen und verstärken sich gegenseitig.</w:t>
      </w:r>
    </w:p>
    <w:p>
      <w:r>
        <w:t xml:space="preserve">(2) Die Maßnahmen der humanitären Hilfe werden im Einklang mit den Grundsätzen des Völkerrechts sowie den Grundsätzen der Unparteilichkeit, der Neutralität und der Nichtdiskriminierung durchgeführt.</w:t>
      </w:r>
    </w:p>
    <w:p>
      <w:r>
        <w:t xml:space="preserve">(3) Das Europäische Parlament und der Rat legen gemäß dem ordentlichen Gesetzgebungsverfahren die Maßnahmen zur Festlegung des Rahmens fest, innerhalb dessen die Maßnahmen der humanitären Hilfe der Union durchgeführt werden.</w:t>
      </w:r>
    </w:p>
    <w:p>
      <w:r>
        <w:t xml:space="preserve">(4) Die Union kann mit Drittländern und den zuständigen internationalen Organisationen alle Übereinkünfte schließen, die zur Verwirklichung der Ziele des Absatzes 1 und des Artikels 21 des Vertrags über die Europäische Union beitragen.</w:t>
      </w:r>
    </w:p>
    <w:p>
      <w:r>
        <w:t xml:space="preserve">Unterabsatz 1 berührt nicht die Zuständigkeit der Mitgliedstaaten, in internationalen Gremien zu verhandeln und Übereinkünfte zu schließen.</w:t>
      </w:r>
    </w:p>
    <w:p>
      <w:r>
        <w:t xml:space="preserve">(5) Als Rahmen für gemeinsame Beiträge der jungen Europäer zu den Maßnahmen der humanitären Hilfe der Union wird ein Europäisches Freiwilligenkorps für humanitäre Hilfe geschaffen. Das Europäische Parlament und der Rat legen gemäß dem ordentlichen Gesetzgebungsverfahren durch Verordnungen die Rechtsstellung und die Einzelheiten der Arbeitsweise des Korps fest.</w:t>
      </w:r>
    </w:p>
    <w:p>
      <w:r>
        <w:t xml:space="preserve">(6) Die Kommission kann alle Initiativen ergreifen, die der Koordinierung zwischen den Maßnahmen der Union und denen der Mitgliedstaaten förderlich sind, damit die Programme der Union und der Mitgliedstaaten im Bereich der humanitären Hilfe wirksamer sind und einander besser ergänzen.</w:t>
      </w:r>
    </w:p>
    <w:p>
      <w:r>
        <w:t xml:space="preserve">(7) Die Union trägt dafür Sorge, dass ihre Maßnahmen der humanitären Hilfe mit den Maßnahmen der internationalen Organisationen und Einrichtungen, insbesondere derer, die zum System der Vereinten Nationen gehören, abgestimmt werden und im Einklang mit ihnen stehen.</w:t>
      </w:r>
    </w:p>
    <w:p>
      <w:r>
        <w:rPr>
          <w:color w:val="555555"/>
          <w:sz w:val="17"/>
        </w:rPr>
        <w:t xml:space="preserve">Zitiervorschlag: Art 214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