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209 AEUV — (ex-Artikel 179 EGV)</w:t>
      </w:r>
    </w:p>
    <w:p>
      <w:r>
        <w:rPr>
          <w:color w:val="555555"/>
          <w:sz w:val="18"/>
        </w:rPr>
        <w:t xml:space="preserve">AEUV</w:t>
      </w:r>
    </w:p>
    <w:p>
      <w:r>
        <w:rPr>
          <w:color w:val="555555"/>
          <w:sz w:val="18"/>
        </w:rPr>
        <w:t xml:space="preserve">Stand: 22.07.2026 (konsolidierte Textfassung, kein amtliches Inkrafttretensdatum)</w:t>
      </w:r>
    </w:p>
    <w:p>
      <w:r>
        <w:t xml:space="preserve">(1) Das Europäische Parlament und der Rat erlassen gemäß dem ordentlichen Gesetzgebungsverfahren die zur Durchführung der Politik im Bereich der Entwicklungszusammenarbeit erforderlichen Maßnahmen; diese Maßnahmen können Mehrjahresprogramme für die Zusammenarbeit mit Entwicklungsländern oder thematische Programme betreffen.</w:t>
      </w:r>
    </w:p>
    <w:p>
      <w:r>
        <w:t xml:space="preserve">(2) Die Union kann mit Drittländern und den zuständigen internationalen Organisationen alle Übereinkünfte schließen, die zur Verwirklichung der Ziele des Artikels 21 des Vertrags über die Europäische Union und des Artikels 208 dieses Vertrags beitragen.</w:t>
      </w:r>
    </w:p>
    <w:p>
      <w:r>
        <w:t xml:space="preserve">Unterabsatz 1 berührt nicht die Zuständigkeit der Mitgliedstaaten, in internationalen Gremien zu verhandeln und Übereinkünfte zu schließen.</w:t>
      </w:r>
    </w:p>
    <w:p>
      <w:r>
        <w:t xml:space="preserve">(3) Die Europäische Investitionsbank trägt nach Maßgabe ihrer Satzung zur Durchführung der Maßnahmen im Sinne des Absatzes 1 bei.</w:t>
      </w:r>
    </w:p>
    <w:p>
      <w:r>
        <w:rPr>
          <w:color w:val="555555"/>
          <w:sz w:val="17"/>
        </w:rPr>
        <w:t xml:space="preserve">Zitiervorschlag: Art 209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https://recht.nulegal.eu/gesetze/AEUV/209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