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207 AEUV — (ex-Artikel 133 EGV)</w:t>
      </w:r>
    </w:p>
    <w:p>
      <w:r>
        <w:rPr>
          <w:color w:val="555555"/>
          <w:sz w:val="18"/>
        </w:rPr>
        <w:t xml:space="preserve">AEUV</w:t>
      </w:r>
    </w:p>
    <w:p>
      <w:r>
        <w:rPr>
          <w:color w:val="555555"/>
          <w:sz w:val="18"/>
        </w:rPr>
        <w:t xml:space="preserve">Stand: 22.07.2026 (konsolidierte Textfassung, kein amtliches Inkrafttretensdatum)</w:t>
      </w:r>
    </w:p>
    <w:p>
      <w:r>
        <w:t xml:space="preserve">(1) Die gemeinsame Handelspolitik wird nach einheitlichen Grundsätzen gestaltet; dies gilt insbesondere für die Änderung von Zollsätzen, für den Abschluss von Zoll- und Handelsabkommen, die den Handel mit Waren und Dienstleistungen betreffen, und für die Handelsaspekte des geistigen Eigentums, die ausländischen Direktinvestitionen, die Vereinheitlichung der Liberalisierungsmaßnahmen, die Ausfuhrpolitik sowie die handelspolitischen Schutzmaßnahmen, zum Beispiel im Fall von Dumping und Subventionen. Die gemeinsame Handelspolitik wird im Rahmen der Grundsätze und Ziele des auswärtigen Handelns der Union gestaltet.</w:t>
      </w:r>
    </w:p>
    <w:p>
      <w:r>
        <w:t xml:space="preserve">(2) Das Europäische Parlament und der Rat erlassen durch Verordnungen gemäß dem ordentlichen Gesetzgebungsverfahren die Maßnahmen, mit denen der Rahmen für die Umsetzung der gemeinsamen Handelspolitik bestimmt wird.</w:t>
      </w:r>
    </w:p>
    <w:p>
      <w:r>
        <w:t xml:space="preserve">(3) Sind mit einem oder mehreren Drittländern oder internationalen Organisationen Abkommen auszuhandeln und zu schließen, so findet Artikel 218 vorbehaltlich der besonderen Bestimmungen dieses Artikels Anwendung.</w:t>
      </w:r>
    </w:p>
    <w:p>
      <w:r>
        <w:t xml:space="preserve">Die Kommission legt dem Rat Empfehlungen vor; dieser ermächtigt die Kommission zur Aufnahme der erforderlichen Verhandlungen. Der Rat und die Kommission haben dafür Sorge zu tragen, dass die ausgehandelten Abkommen mit der internen Politik und den internen Vorschriften der Union vereinbar sind.</w:t>
      </w:r>
    </w:p>
    <w:p>
      <w:r>
        <w:t xml:space="preserve">Die Kommission führt diese Verhandlungen im Benehmen mit einem zu ihrer Unterstützung vom Rat bestellten Sonderausschuss und nach Maßgabe der Richtlinien, die ihr der Rat erteilen kann. Die Kommission erstattet dem Sonderausschuss sowie dem Europäischen Parlament regelmäßig Bericht über den Stand der Verhandlungen.</w:t>
      </w:r>
    </w:p>
    <w:p>
      <w:r>
        <w:t xml:space="preserve">(4) Über die Aushandlung und den Abschluss der in Absatz 3 genannten Abkommen beschließt der Rat mit qualifizierter Mehrheit.</w:t>
      </w:r>
    </w:p>
    <w:p>
      <w:r>
        <w:t xml:space="preserve">Über die Aushandlung und den Abschluss eines Abkommens über den Dienstleistungsverkehr, über Handelsaspekte des geistigen Eigentums oder über ausländische Direktinvestitionen beschließt der Rat einstimmig, wenn das betreffende Abkommen Bestimmungen enthält, bei denen für die Annahme interner Vorschriften Einstimmigkeit erforderlich ist.</w:t>
      </w:r>
    </w:p>
    <w:p>
      <w:r>
        <w:t xml:space="preserve">Der Rat beschließt ebenfalls einstimmig über die Aushandlung und den Abschluss von Abkommen in den folgenden Bereichen:</w:t>
      </w:r>
    </w:p>
    <w:p>
      <w:r>
        <w:t xml:space="preserve">a) Handel mit kulturellen und audiovisuellen Dienstleistungen, wenn diese Abkommen die kulturelle und sprachliche Vielfalt in der Union beeinträchtigen könnten;</w:t>
      </w:r>
    </w:p>
    <w:p>
      <w:r>
        <w:t xml:space="preserve">b) Handel mit Dienstleistungen des Sozial-, des Bildungs- und des Gesundheitssektors, wenn diese Abkommen die einzelstaatliche Organisation dieser Dienstleistungen ernsthaft stören und die Verantwortlichkeit der Mitgliedstaaten für ihre Erbringung beinträchtigen könnten.</w:t>
      </w:r>
    </w:p>
    <w:p>
      <w:r>
        <w:t xml:space="preserve">(5) Für die Aushandlung und den Abschluss von internationalen Abkommen im Bereich des Verkehrs gelten der Dritte Teil Titel VI sowie Artikel 218.</w:t>
      </w:r>
    </w:p>
    <w:p>
      <w:r>
        <w:t xml:space="preserve">(6) Die Ausübung der durch diesen Artikel übertragenen Zuständigkeiten im Bereich der gemeinsamen Handelspolitik hat keine Auswirkungen auf die Abgrenzung der Zuständigkeiten zwischen der Union und den Mitgliedstaaten und führt nicht zu einer Harmonisierung der Rechtsvorschriften der Mitgliedstaaten, soweit eine solche Harmonisierung in den Verträgen ausgeschlossen wird.</w:t>
      </w:r>
    </w:p>
    <w:p>
      <w:r>
        <w:rPr>
          <w:color w:val="555555"/>
          <w:sz w:val="17"/>
        </w:rPr>
        <w:t xml:space="preserve">Zitiervorschlag: Art 207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