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206 AEUV — (ex-Artikel 131 EGV)</w:t>
      </w:r>
    </w:p>
    <w:p>
      <w:r>
        <w:rPr>
          <w:color w:val="555555"/>
          <w:sz w:val="18"/>
        </w:rPr>
        <w:t xml:space="preserve">AEUV</w:t>
      </w:r>
    </w:p>
    <w:p>
      <w:r>
        <w:rPr>
          <w:color w:val="555555"/>
          <w:sz w:val="18"/>
        </w:rPr>
        <w:t xml:space="preserve">Stand: 22.07.2026 (konsolidierte Textfassung, kein amtliches Inkrafttretensdatum)</w:t>
      </w:r>
    </w:p>
    <w:p>
      <w:r>
        <w:t xml:space="preserve">Durch die Schaffung einer Zollunion nach den Artikeln 28 bis 32 trägt die Union im gemeinsamen Interesse zur harmonischen Entwicklung des Welthandels, zur schrittweisen Beseitigung der Beschränkungen im internationalen Handelsverkehr und bei den ausländischen Direktinvestitionen sowie zum Abbau der Zollschranken und anderer Schranken bei.</w:t>
      </w:r>
    </w:p>
    <w:p>
      <w:r>
        <w:rPr>
          <w:color w:val="555555"/>
          <w:sz w:val="17"/>
        </w:rPr>
        <w:t xml:space="preserve">Zitiervorschlag: Art 206 AEUV</w:t>
      </w:r>
    </w:p>
    <w:p>
      <w:r>
        <w:rPr>
          <w:color w:val="555555"/>
          <w:sz w:val="17"/>
        </w:rPr>
        <w:t xml:space="preserve">Quelle: EUR-Lex, abgerufen 22.07.2026</w:t>
      </w:r>
    </w:p>
    <w:p>
      <w:r>
        <w:rPr>
          <w:color w:val="555555"/>
          <w:sz w:val="17"/>
        </w:rPr>
        <w:t xml:space="preserve">Nicht-amtliche konsolidierte Fassung — verbindlich ist der im Amtsblatt der Europäischen Union veröffentlichte Wortlaut (eur-lex.europa.eu: https://eur-lex.europa.eu)</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https://recht.nulegal.eu/gesetze/AEUV/206</w:t>
      </w:r>
    </w:p>
    <w:p>
      <w:r>
        <w:rPr>
          <w:color w:val="767676"/>
          <w:sz w:val="15"/>
        </w:rPr>
        <w:t xml:space="preserve">nu:legal · recht.nulegal.eu · Nicht-amtliche Lesefassung. Amtliche Fassung: eur-lex.europa.eu</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