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202 AEUV — (ex-Artikel 186 EGV)</w:t>
      </w:r>
    </w:p>
    <w:p>
      <w:r>
        <w:rPr>
          <w:color w:val="555555"/>
          <w:sz w:val="18"/>
        </w:rPr>
        <w:t xml:space="preserve">AEUV</w:t>
      </w:r>
    </w:p>
    <w:p>
      <w:r>
        <w:rPr>
          <w:color w:val="555555"/>
          <w:sz w:val="18"/>
        </w:rPr>
        <w:t xml:space="preserve">Stand: 22.07.2026 (konsolidierte Textfassung, kein amtliches Inkrafttretensdatum)</w:t>
      </w:r>
    </w:p>
    <w:p>
      <w:r>
        <w:t xml:space="preserve">Vorbehaltlich der Bestimmungen über die Volksgesundheit und die öffentliche Sicherheit und Ordnung werden für die Freizügigkeit der Arbeitskräfte aus den Ländern und Hoheitsgebieten in den Mitgliedstaaten und der Arbeitskräfte aus den Mitgliedstaaten in den Ländern und Hoheitsgebieten Rechtsakte nach Artikel 203 erlassen.</w:t>
      </w:r>
    </w:p>
    <w:p>
      <w:r>
        <w:rPr>
          <w:color w:val="555555"/>
          <w:sz w:val="17"/>
        </w:rPr>
        <w:t xml:space="preserve">Zitiervorschlag: Art 202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