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AEUV — (ex-Artikel 17 EGV)</w:t>
      </w:r>
    </w:p>
    <w:p>
      <w:r>
        <w:rPr>
          <w:color w:val="555555"/>
          <w:sz w:val="18"/>
        </w:rPr>
        <w:t xml:space="preserve">AEUV</w:t>
      </w:r>
    </w:p>
    <w:p>
      <w:r>
        <w:rPr>
          <w:color w:val="555555"/>
          <w:sz w:val="18"/>
        </w:rPr>
        <w:t xml:space="preserve">Stand: 22.07.2026 (konsolidierte Textfassung, kein amtliches Inkrafttretensdatum)</w:t>
      </w:r>
    </w:p>
    <w:p>
      <w:r>
        <w:t xml:space="preserve">(1) Es wird eine Unionsbürgerschaft eingeführt. Unionsbürger ist, wer die Staatsangehörigkeit eines Mitgliedstaats besitzt. Die Unionsbürgerschaft tritt zur nationalen Staatsbürgerschaft hinzu, ersetzt diese aber nicht.</w:t>
      </w:r>
    </w:p>
    <w:p>
      <w:r>
        <w:t xml:space="preserve">(2) Die Unionsbürgerinnen und Unionsbürger haben die in den Verträgen vorgesehenen Rechte und Pflichten. Sie haben unter anderem</w:t>
      </w:r>
    </w:p>
    <w:p>
      <w:r>
        <w:t xml:space="preserve">a) das Recht, sich im Hoheitsgebiet der Mitgliedstaaten frei zu bewegen und aufzuhalten;</w:t>
      </w:r>
    </w:p>
    <w:p>
      <w:r>
        <w:t xml:space="preserve">b) in dem Mitgliedstaat, in dem sie ihren Wohnsitz haben, das aktive und passive Wahlrecht bei den Wahlen zum Europäischen Parlament und bei den Kommunalwahlen, wobei für sie dieselben Bedingungen gelten wie für die Angehörigen des betreffenden Mitgliedstaats;</w:t>
      </w:r>
    </w:p>
    <w:p>
      <w:r>
        <w:t xml:space="preserve">c) im Hoheitsgebiet eines Drittlands, in dem der Mitgliedstaat, dessen Staatsangehörigkeit sie besitzen, nicht vertreten ist, Recht auf Schutz durch die diplomatischen und konsularischen Behörden eines jeden Mitgliedstaats unter denselben Bedingungen wie Staatsangehörige dieses Staates;</w:t>
      </w:r>
    </w:p>
    <w:p>
      <w:r>
        <w:t xml:space="preserve">d) das Recht, Petitionen an das Europäische Parlament zu richten und sich an den Europäischen Bürgerbeauftragten zu wenden, sowie das Recht, sich in einer der Sprachen der Verträge an die Organe und die beratenden Einrichtungen der Union zu wenden und eine Antwort in derselben Sprache zu erhalten.</w:t>
      </w:r>
    </w:p>
    <w:p>
      <w:r>
        <w:t xml:space="preserve">Diese Rechte werden unter den Bedingungen und innerhalb der Grenzen ausgeübt, die in den Verträgen und durch die in Anwendung der Verträge erlassenen Maßnahmen festgelegt sind.</w:t>
      </w:r>
    </w:p>
    <w:p>
      <w:r>
        <w:rPr>
          <w:color w:val="555555"/>
          <w:sz w:val="17"/>
        </w:rPr>
        <w:t xml:space="preserve">Zitiervorschlag: Art 20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