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199 AEUV — (ex-Artikel 183 EGV)</w:t>
      </w:r>
    </w:p>
    <w:p>
      <w:r>
        <w:rPr>
          <w:color w:val="555555"/>
          <w:sz w:val="18"/>
        </w:rPr>
        <w:t xml:space="preserve">AEUV</w:t>
      </w:r>
    </w:p>
    <w:p>
      <w:r>
        <w:rPr>
          <w:color w:val="555555"/>
          <w:sz w:val="18"/>
        </w:rPr>
        <w:t xml:space="preserve">Stand: 22.07.2026 (konsolidierte Textfassung, kein amtliches Inkrafttretensdatum)</w:t>
      </w:r>
    </w:p>
    <w:p>
      <w:r>
        <w:t xml:space="preserve">Mit der Assoziierung werden folgende Zwecke verfolgt:</w:t>
      </w:r>
    </w:p>
    <w:p>
      <w:r>
        <w:t xml:space="preserve">1. Die Mitgliedstaaten wenden auf ihren Handelsverkehr mit den Ländern und Hoheitsgebieten das System an, das sie aufgrund der Verträge untereinander anwenden.</w:t>
      </w:r>
    </w:p>
    <w:p>
      <w:r>
        <w:t xml:space="preserve">2. Jedes Land oder Hoheitsgebiet wendet auf seinen Handelsverkehr mit den Mitgliedstaaten und den anderen Ländern und Hoheitsgebieten das System an, das es auf den europäischen Staat anwendet, mit dem es besondere Beziehungen unterhält.</w:t>
      </w:r>
    </w:p>
    <w:p>
      <w:r>
        <w:t xml:space="preserve">3. Die Mitgliedstaaten beteiligen sich an den Investitionen, welche die fortschreitende Entwicklung dieser Länder und Hoheitsgebiete erfordert.</w:t>
      </w:r>
    </w:p>
    <w:p>
      <w:r>
        <w:t xml:space="preserve">4. Bei Ausschreibungen und Lieferungen für Investitionen, die von der Union finanziert werden, steht die Beteiligung zu gleichen Bedingungen allen natürlichen und juristischen Personen offen, welche die Staatsangehörigkeit der Mitgliedstaaten oder der Länder oder Hoheitsgebiete besitzen.</w:t>
      </w:r>
    </w:p>
    <w:p>
      <w:r>
        <w:t xml:space="preserve">5. Soweit aufgrund des Artikels 203 nicht Sonderregelungen getroffen werden, gelten zwischen den Mitgliedstaaten und den Ländern und Hoheitsgebieten für das Niederlassungsrecht ihrer Staatsangehörigen und Gesellschaften die Bestimmungen und Verfahrensregeln des Kapitels Niederlassungsfreiheit, und zwar unter Ausschluss jeder Diskriminierung.</w:t>
      </w:r>
    </w:p>
    <w:p>
      <w:r>
        <w:rPr>
          <w:color w:val="555555"/>
          <w:sz w:val="17"/>
        </w:rPr>
        <w:t xml:space="preserve">Zitiervorschlag: Art 199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https://recht.nulegal.eu/gesetze/AEUV/199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