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197 AEUV</w:t>
      </w:r>
    </w:p>
    <w:p>
      <w:r>
        <w:rPr>
          <w:color w:val="555555"/>
          <w:sz w:val="18"/>
        </w:rPr>
        <w:t xml:space="preserve">AEUV</w:t>
      </w:r>
    </w:p>
    <w:p>
      <w:r>
        <w:rPr>
          <w:color w:val="555555"/>
          <w:sz w:val="18"/>
        </w:rPr>
        <w:t xml:space="preserve">Stand: 22.07.2026 (konsolidierte Textfassung, kein amtliches Inkrafttretensdatum)</w:t>
      </w:r>
    </w:p>
    <w:p>
      <w:r>
        <w:t xml:space="preserve">(1) Die für das ordnungsgemäße Funktionieren der Union entscheidende effektive Durchführung des Unionsrechts durch die Mitgliedstaaten ist als Frage von gemeinsamem Interesse anzusehen.</w:t>
      </w:r>
    </w:p>
    <w:p>
      <w:r>
        <w:t xml:space="preserve">(2) Die Union kann die Mitgliedstaaten in ihren Bemühungen um eine Verbesserung der Fähigkeit ihrer Verwaltung zur Durchführung des Unionsrechts unterstützen. Dies kann insbesondere die Erleichterung des Austauschs von Informationen und von Beamten sowie die Unterstützung von Aus- und Weiterbildungsprogrammen beinhalten. Die Mitgliedstaaten müssen diese Unterstützung nicht in Anspruch nehmen. Das Europäische Parlament und der Rat erlassen die erforderlichen Maßnahmen unter Ausschluss jeglicher Harmonisierung der Rechtsvorschriften der Mitgliedstaaten durch Verordnungen gemäß dem ordentlichen Gesetzgebungsverfahren.</w:t>
      </w:r>
    </w:p>
    <w:p>
      <w:r>
        <w:t xml:space="preserve">(3) Dieser Artikel berührt weder die Verpflichtung der Mitgliedstaaten, das Unionsrecht durchzuführen, noch die Befugnisse und Pflichten der Kommission. Er berührt auch nicht die übrigen Bestimmungen der Verträge, in denen eine Verwaltungszusammenarbeit unter den Mitgliedstaaten sowie zwischen diesen und der Union vorgesehen ist.</w:t>
      </w:r>
    </w:p>
    <w:p>
      <w:r>
        <w:rPr>
          <w:color w:val="555555"/>
          <w:sz w:val="17"/>
        </w:rPr>
        <w:t xml:space="preserve">Zitiervorschlag: Art 197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https://recht.nulegal.eu/gesetze/AEUV/197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