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196 AEUV</w:t>
      </w:r>
    </w:p>
    <w:p>
      <w:r>
        <w:rPr>
          <w:color w:val="555555"/>
          <w:sz w:val="18"/>
        </w:rPr>
        <w:t xml:space="preserve">AEUV</w:t>
      </w:r>
    </w:p>
    <w:p>
      <w:r>
        <w:rPr>
          <w:color w:val="555555"/>
          <w:sz w:val="18"/>
        </w:rPr>
        <w:t xml:space="preserve">Stand: 22.07.2026 (konsolidierte Textfassung, kein amtliches Inkrafttretensdatum)</w:t>
      </w:r>
    </w:p>
    <w:p>
      <w:r>
        <w:t xml:space="preserve">(1) Die Union fördert die Zusammenarbeit zwischen den Mitgliedstaaten, um die Systeme zur Verhütung von Naturkatastrophen oder von vom Menschen verursachten Katastrophen und zum Schutz vor solchen Katastrophen wirksamer zu gestalten.</w:t>
      </w:r>
    </w:p>
    <w:p>
      <w:r>
        <w:t xml:space="preserve">Die Tätigkeit der Union hat folgende Ziele:</w:t>
      </w:r>
    </w:p>
    <w:p>
      <w:r>
        <w:t xml:space="preserve">a) Unterstützung und Ergänzung der Tätigkeit der Mitgliedstaaten auf nationaler, regionaler und kommunaler Ebene im Hinblick auf die Risikoprävention, auf die Ausbildung der in den Mitgliedstaaten am Katastrophenschutz Beteiligten und auf Einsätze im Falle von Naturkatastrophen oder von vom Menschen verursachten Katastrophen in der Union;</w:t>
      </w:r>
    </w:p>
    <w:p>
      <w:r>
        <w:t xml:space="preserve">b) Förderung einer schnellen und effizienten Zusammenarbeit in der Union zwischen den einzelstaatlichen Katastrophenschutzstellen;</w:t>
      </w:r>
    </w:p>
    <w:p>
      <w:r>
        <w:t xml:space="preserve">c) Verbesserung der Kohärenz der Katastrophenschutzmaßnahmen auf internationaler Ebene.</w:t>
      </w:r>
    </w:p>
    <w:p>
      <w:r>
        <w:t xml:space="preserve">(2) Das Europäische Parlament und der Rat erlassen unter Ausschluss jeglicher Harmonisierung der Rechtsvorschriften der Mitgliedstaaten gemäß dem ordentlichen Gesetzgebungsverfahren die erforderlichen Maßnahmen zur Verfolgung der Ziele des Absatzes 1.</w:t>
      </w:r>
    </w:p>
    <w:p>
      <w:r>
        <w:rPr>
          <w:color w:val="555555"/>
          <w:sz w:val="17"/>
        </w:rPr>
        <w:t xml:space="preserve">Zitiervorschlag: Art 196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