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193 AEUV — (ex-Artikel 176 EGV)</w:t>
      </w:r>
    </w:p>
    <w:p>
      <w:r>
        <w:rPr>
          <w:color w:val="555555"/>
          <w:sz w:val="18"/>
        </w:rPr>
        <w:t xml:space="preserve">AEUV</w:t>
      </w:r>
    </w:p>
    <w:p>
      <w:r>
        <w:rPr>
          <w:color w:val="555555"/>
          <w:sz w:val="18"/>
        </w:rPr>
        <w:t xml:space="preserve">Stand: 22.07.2026 (konsolidierte Textfassung, kein amtliches Inkrafttretensdatum)</w:t>
      </w:r>
    </w:p>
    <w:p>
      <w:r>
        <w:t xml:space="preserve">Die Schutzmaßnahmen, die aufgrund des Artikels 192 getroffen werden, hindern die einzelnen Mitgliedstaaten nicht daran, verstärkte Schutzmaßnahmen beizubehalten oder zu ergreifen. Die betreffenden Maßnahmen müssen mit den Verträgen vereinbar sein. Sie werden der Kommission notifiziert.</w:t>
      </w:r>
    </w:p>
    <w:p>
      <w:r>
        <w:rPr>
          <w:color w:val="555555"/>
          <w:sz w:val="17"/>
        </w:rPr>
        <w:t xml:space="preserve">Zitiervorschlag: Art 193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