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192 AEUV — (ex-Artikel 175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Das Europäische Parlament und der Rat beschließen gemäß dem ordentlichen Gesetzgebungsverfahren und nach Anhörung des Wirtschafts- und Sozialausschusses sowie des Ausschusses der Regionen über das Tätigwerden der Union zur Erreichung der in Artikel 191 genannten Ziele.</w:t>
      </w:r>
    </w:p>
    <w:p>
      <w:r>
        <w:t xml:space="preserve">(2) Abweichend von dem Beschlussverfahren des Absatzes 1 und unbeschadet des Artikels 114 erlässt der Rat gemäß einem besonderen Gesetzgebungsverfahren nach Anhörung des Europäischen Parlaments, des Wirtschafts- und Sozialausschusses sowie des Ausschusses der Regionen einstimmig</w:t>
      </w:r>
    </w:p>
    <w:p>
      <w:r>
        <w:t xml:space="preserve">a) Vorschriften überwiegend steuerlicher Art;</w:t>
      </w:r>
    </w:p>
    <w:p>
      <w:r>
        <w:t xml:space="preserve">b) Maßnahmen, die — die Raumordnung berühren, — die mengenmäßige Bewirtschaftung der Wasserressourcen berühren oder die Verfügbarkeit dieser Ressourcen mittelbar oder unmittelbar betreffen, — die Bodennutzung mit Ausnahme der Abfallbewirtschaftung berühren;</w:t>
      </w:r>
    </w:p>
    <w:p>
      <w:r>
        <w:t xml:space="preserve">— die Raumordnung berühren,</w:t>
      </w:r>
    </w:p>
    <w:p>
      <w:r>
        <w:t xml:space="preserve">— die mengenmäßige Bewirtschaftung der Wasserressourcen berühren oder die Verfügbarkeit dieser Ressourcen mittelbar oder unmittelbar betreffen,</w:t>
      </w:r>
    </w:p>
    <w:p>
      <w:r>
        <w:t xml:space="preserve">— die Bodennutzung mit Ausnahme der Abfallbewirtschaftung berühren;</w:t>
      </w:r>
    </w:p>
    <w:p>
      <w:r>
        <w:t xml:space="preserve">c) Maßnahmen, welche die Wahl eines Mitgliedstaats zwischen verschiedenen Energiequellen und die allgemeine Struktur seiner Energieversorgung erheblich berühren.</w:t>
      </w:r>
    </w:p>
    <w:p>
      <w:r>
        <w:t xml:space="preserve">Der Rat kann auf Vorschlag der Kommission und nach Anhörung des Europäischen Parlaments, des Wirtschafts- und Sozialausschusses und des Ausschusses der Regionen einstimmig festlegen, dass für die in Unterabsatz 1 genannten Bereiche das ordentliche Gesetzgebungsverfahren gilt.</w:t>
      </w:r>
    </w:p>
    <w:p>
      <w:r>
        <w:t xml:space="preserve">(3) Das Europäische Parlament und der Rat beschließen gemäß dem ordentlichen Gesetzgebungsverfahren und nach Anhörung des Wirtschafts- und Sozialausschusses sowie des Ausschusses der Regionen allgemeine Aktionsprogramme, in denen die vorrangigen Ziele festgelegt werden.</w:t>
      </w:r>
    </w:p>
    <w:p>
      <w:r>
        <w:t xml:space="preserve">Die zur Durchführung dieser Programme erforderlichen Maßnahmen werden, je nach Fall, nach dem in Absatz 1 beziehungsweise Absatz 2 vorgesehenen Verfahren erlassen.</w:t>
      </w:r>
    </w:p>
    <w:p>
      <w:r>
        <w:t xml:space="preserve">(4) Unbeschadet bestimmter Maßnahmen der Union tragen die Mitgliedstaaten für die Finanzierung und Durchführung der Umweltpolitik Sorge.</w:t>
      </w:r>
    </w:p>
    <w:p>
      <w:r>
        <w:t xml:space="preserve">(5) Sofern eine Maßnahme nach Absatz 1 mit unverhältnismäßig hohen Kosten für die Behörden eines Mitgliedstaats verbunden ist, werden darin unbeschadet des Verursacherprinzips geeignete Bestimmungen in folgender Form vorgesehen:</w:t>
      </w:r>
    </w:p>
    <w:p>
      <w:r>
        <w:t xml:space="preserve">— vorübergehende Ausnahmeregelungen und/oder</w:t>
      </w:r>
    </w:p>
    <w:p>
      <w:r>
        <w:t xml:space="preserve">— eine finanzielle Unterstützung aus dem nach Artikel 177 errichteten Kohäsionsfonds.</w:t>
      </w:r>
    </w:p>
    <w:p>
      <w:r>
        <w:rPr>
          <w:color w:val="555555"/>
          <w:sz w:val="17"/>
        </w:rPr>
        <w:t xml:space="preserve">Zitiervorschlag: Art 192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https://recht.nulegal.eu/gesetze/AEUV/192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