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190 AEUV — (ex-Artikel 173 EGV)</w:t>
      </w:r>
    </w:p>
    <w:p>
      <w:r>
        <w:rPr>
          <w:color w:val="555555"/>
          <w:sz w:val="18"/>
        </w:rPr>
        <w:t xml:space="preserve">AEUV</w:t>
      </w:r>
    </w:p>
    <w:p>
      <w:r>
        <w:rPr>
          <w:color w:val="555555"/>
          <w:sz w:val="18"/>
        </w:rPr>
        <w:t xml:space="preserve">Stand: 22.07.2026 (konsolidierte Textfassung, kein amtliches Inkrafttretensdatum)</w:t>
      </w:r>
    </w:p>
    <w:p>
      <w:r>
        <w:t xml:space="preserve">Zu Beginn jedes Jahres unterbreitet die Kommission dem Europäischen Parlament und dem Rat einen Bericht. Dieser Bericht erstreckt sich insbesondere auf die Tätigkeiten auf dem Gebiet der Forschung und technologischen Entwicklung und der Verbreitung der Ergebnisse dieser Tätigkeiten während des Vorjahres sowie auf das Arbeitsprogramm des laufenden Jahres.</w:t>
      </w:r>
    </w:p>
    <w:p>
      <w:r>
        <w:rPr>
          <w:color w:val="555555"/>
          <w:sz w:val="17"/>
        </w:rPr>
        <w:t xml:space="preserve">Zitiervorschlag: Art 190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