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184 AEUV — (ex-Artikel 168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Bei der Durchführung des mehrjährigen Rahmenprogramms können Zusatzprogramme beschlossen werden, an denen nur bestimmte Mitgliedstaaten teilnehmen, die sie vorbehaltlich einer etwaigen Beteiligung der Union auch finanzieren.</w:t>
      </w:r>
    </w:p>
    <w:p>
      <w:r>
        <w:t xml:space="preserve">Die Union legt die Regeln für die Zusatzprogramme fest, insbesondere hinsichtlich der Verbreitung der Kenntnisse und des Zugangs anderer Mitgliedstaaten.</w:t>
      </w:r>
    </w:p>
    <w:p>
      <w:r>
        <w:rPr>
          <w:color w:val="555555"/>
          <w:sz w:val="17"/>
        </w:rPr>
        <w:t xml:space="preserve">Zitiervorschlag: Art 184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