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183 AEUV — (ex-Artikel 167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Zur Durchführung des mehrjährigen Rahmenprogramms legt die Union Folgendes fest:</w:t>
      </w:r>
    </w:p>
    <w:p>
      <w:r>
        <w:t xml:space="preserve">— die Regeln für die Beteiligung der Unternehmen, der Forschungszentren und der Hochschulen;</w:t>
      </w:r>
    </w:p>
    <w:p>
      <w:r>
        <w:t xml:space="preserve">— die Regeln für die Verbreitung der Forschungsergebnisse.</w:t>
      </w:r>
    </w:p>
    <w:p>
      <w:r>
        <w:rPr>
          <w:color w:val="555555"/>
          <w:sz w:val="17"/>
        </w:rPr>
        <w:t xml:space="preserve">Zitiervorschlag: Art 183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