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182 AEUV — (ex-Artikel 166 EGV)</w:t>
      </w:r>
    </w:p>
    <w:p>
      <w:r>
        <w:rPr>
          <w:color w:val="555555"/>
          <w:sz w:val="18"/>
        </w:rPr>
        <w:t xml:space="preserve">AEUV</w:t>
      </w:r>
    </w:p>
    <w:p>
      <w:r>
        <w:rPr>
          <w:color w:val="555555"/>
          <w:sz w:val="18"/>
        </w:rPr>
        <w:t xml:space="preserve">Stand: 22.07.2026 (konsolidierte Textfassung, kein amtliches Inkrafttretensdatum)</w:t>
      </w:r>
    </w:p>
    <w:p>
      <w:r>
        <w:t xml:space="preserve">(1) Das Europäische Parlament und der Rat stellen gemäß dem ordentlichen Gesetzgebungsverfahren und nach Anhörung des Wirtschafts- und Sozialausschusses ein mehrjähriges Rahmenprogramm auf, in dem alle Aktionen der Union zusammengefasst werden.</w:t>
      </w:r>
    </w:p>
    <w:p>
      <w:r>
        <w:t xml:space="preserve">In dem Rahmenprogramm werden</w:t>
      </w:r>
    </w:p>
    <w:p>
      <w:r>
        <w:t xml:space="preserve">— die wissenschaftlichen und technologischen Ziele, die mit den Maßnahmen nach Artikel 180 erreicht werden sollen, sowie die jeweiligen Prioritäten festgelegt;</w:t>
      </w:r>
    </w:p>
    <w:p>
      <w:r>
        <w:t xml:space="preserve">— die Grundzüge dieser Maßnahmen angegeben;</w:t>
      </w:r>
    </w:p>
    <w:p>
      <w:r>
        <w:t xml:space="preserve">— der Gesamthöchstbetrag und die Einzelheiten der finanziellen Beteiligung der Union am Rahmenprogramm sowie die jeweiligen Anteile der vorgesehenen Maßnahmen festgelegt.</w:t>
      </w:r>
    </w:p>
    <w:p>
      <w:r>
        <w:t xml:space="preserve">(2) Das Rahmenprogramm wird je nach Entwicklung der Lage angepasst oder ergänzt.</w:t>
      </w:r>
    </w:p>
    <w:p>
      <w:r>
        <w:t xml:space="preserve">(3) Die Durchführung des Rahmenprogramms erfolgt durch spezifische Programme, die innerhalb einer jeden Aktion entwickelt werden. In jedem spezifischen Programm werden die Einzelheiten seiner Durchführung, seine Laufzeit und die für notwendig erachteten Mittel festgelegt. Die Summe der in den spezifischen Programmen für notwendig erachteten Beträge darf den für das Rahmenprogramm und für jede Aktion festgesetzten Gesamthöchstbetrag nicht überschreiten.</w:t>
      </w:r>
    </w:p>
    <w:p>
      <w:r>
        <w:t xml:space="preserve">(4) Die spezifischen Programme werden vom Rat gemäß einem besonderen Gesetzgebungsverfahren nach Anhörung des Europäischen Parlaments und des Wirtschafts- und Sozialausschusses beschlossen.</w:t>
      </w:r>
    </w:p>
    <w:p>
      <w:r>
        <w:t xml:space="preserve">(5) Ergänzend zu den in dem mehrjährigen Rahmenprogramm vorgesehenen Aktionen erlassen das Europäische Parlament und der Rat gemäß dem ordentlichen Gesetzgebungsverfahren und nach Anhörung des Wirtschafts- und Sozialausschusses die Maßnahmen, die für die Verwirklichung des Europäischen Raums der Forschung notwendig sind.</w:t>
      </w:r>
    </w:p>
    <w:p>
      <w:r>
        <w:rPr>
          <w:color w:val="555555"/>
          <w:sz w:val="17"/>
        </w:rPr>
        <w:t xml:space="preserve">Zitiervorschlag: Art 182 AEUV</w:t>
      </w:r>
    </w:p>
    <w:p>
      <w:r>
        <w:rPr>
          <w:color w:val="555555"/>
          <w:sz w:val="17"/>
        </w:rPr>
        <w:t xml:space="preserve">Quelle: EUR-Lex, abgerufen 22.07.2026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https://recht.nulegal.eu/gesetze/AEUV/182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