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18 AEUV — (ex-Artikel 12 EGV)</w:t>
      </w:r>
    </w:p>
    <w:p>
      <w:r>
        <w:rPr>
          <w:color w:val="555555"/>
          <w:sz w:val="18"/>
        </w:rPr>
        <w:t xml:space="preserve">AEUV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Unbeschadet besonderer Bestimmungen der Verträge ist in ihrem Anwendungsbereich jede Diskriminierung aus Gründen der Staatsangehörigkeit verboten.</w:t>
      </w:r>
    </w:p>
    <w:p>
      <w:r>
        <w:t xml:space="preserve">Das Europäische Parlament und der Rat können gemäß dem ordentlichen Gesetzgebungsverfahren Regelungen für das Verbot solcher Diskriminierungen treffen.</w:t>
      </w:r>
    </w:p>
    <w:p>
      <w:r>
        <w:rPr>
          <w:color w:val="555555"/>
          <w:sz w:val="17"/>
        </w:rPr>
        <w:t xml:space="preserve">Zitiervorschlag: Art 18 AEUV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https://recht.nulegal.eu/gesetze/AEUV/18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