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178 AEUV — (ex-Artikel 162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den Europäischen Fonds für regionale Entwicklung betreffenden Durchführungsverordnungen werden vom Europäischen Parlament und vom Rat gemäß dem ordentlichen Gesetzgebungsverfahren und nach Anhörung des Wirtschafts- und Sozialausschusses sowie des Ausschusses der Regionen gefasst.</w:t>
      </w:r>
    </w:p>
    <w:p>
      <w:r>
        <w:t xml:space="preserve">Für den Europäischen Ausrichtungs- und Garantiefonds für die Landwirtschaft, Abteilung Ausrichtung, und den Europäischen Sozialfonds sind die Artikel 43 bzw. 164 weiterhin anwendbar.</w:t>
      </w:r>
    </w:p>
    <w:p>
      <w:r>
        <w:rPr>
          <w:color w:val="555555"/>
          <w:sz w:val="17"/>
        </w:rPr>
        <w:t xml:space="preserve">Zitiervorschlag: Art 178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