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175 AEUV — (ex-Artikel 159 EGV)</w:t>
      </w:r>
    </w:p>
    <w:p>
      <w:r>
        <w:rPr>
          <w:color w:val="555555"/>
          <w:sz w:val="18"/>
        </w:rPr>
        <w:t xml:space="preserve">AEUV</w:t>
      </w:r>
    </w:p>
    <w:p>
      <w:r>
        <w:rPr>
          <w:color w:val="555555"/>
          <w:sz w:val="18"/>
        </w:rPr>
        <w:t xml:space="preserve">Stand: 22.07.2026 (konsolidierte Textfassung, kein amtliches Inkrafttretensdatum)</w:t>
      </w:r>
    </w:p>
    <w:p>
      <w:r>
        <w:t xml:space="preserve">Die Mitgliedstaaten führen und koordinieren ihre Wirtschaftspolitik in der Weise, dass auch die in Artikel 174 genannten Ziele erreicht werden. Die Festlegung und Durchführung der Politiken und Aktionen der Union sowie die Errichtung des Binnenmarkts berücksichtigen die Ziele des Artikels 174 und tragen zu deren Verwirklichung bei. Die Union unterstützt auch diese Bemühungen durch die Politik, die sie mit Hilfe der Strukturfonds (Europäischer Ausrichtungs- und Garantiefonds für die Landwirtschaft – Abteilung Ausrichtung, Europäischer Sozialfonds, Europäischer Fonds für regionale Entwicklung), der Europäischen Investitionsbank und der sonstigen vorhandenen Finanzierungsinstrumente führt.</w:t>
      </w:r>
    </w:p>
    <w:p>
      <w:r>
        <w:t xml:space="preserve">Die Kommission erstattet dem Europäischen Parlament, dem Rat, dem Wirtschafts- und Sozialausschuss und dem Ausschuss der Regionen alle drei Jahre Bericht über die Fortschritte bei der Verwirklichung des wirtschaftlichen, sozialen und territorialen Zusammenhalts und über die Art und Weise, in der die in diesem Artikel vorgesehenen Mittel hierzu beigetragen haben. Diesem Bericht werden erforderlichenfalls entsprechende Vorschläge beigefügt.</w:t>
      </w:r>
    </w:p>
    <w:p>
      <w:r>
        <w:t xml:space="preserve">Falls sich spezifische Aktionen außerhalb der Fonds und unbeschadet der im Rahmen der anderen Politiken der Union beschlossenen Maßnahmen als erforderlich erweisen, so können sie vom Europäischen Parlament und vom Rat gemäß dem ordentlichen Gesetzgebungsverfahren nach Anhörung des Wirtschafts- und Sozialausschusses und des Ausschusses der Regionen beschlossen werden.</w:t>
      </w:r>
    </w:p>
    <w:p>
      <w:r>
        <w:rPr>
          <w:color w:val="555555"/>
          <w:sz w:val="17"/>
        </w:rPr>
        <w:t xml:space="preserve">Zitiervorschlag: Art 175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https://recht.nulegal.eu/gesetze/AEUV/175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