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174 AEUV — (ex-Artikel 158 EGV)</w:t>
      </w:r>
    </w:p>
    <w:p>
      <w:r>
        <w:rPr>
          <w:color w:val="555555"/>
          <w:sz w:val="18"/>
        </w:rPr>
        <w:t xml:space="preserve">AEUV</w:t>
      </w:r>
    </w:p>
    <w:p>
      <w:r>
        <w:rPr>
          <w:color w:val="555555"/>
          <w:sz w:val="18"/>
        </w:rPr>
        <w:t xml:space="preserve">Stand: 22.07.2026 (konsolidierte Textfassung, kein amtliches Inkrafttretensdatum)</w:t>
      </w:r>
    </w:p>
    <w:p>
      <w:r>
        <w:t xml:space="preserve">Die Union entwickelt und verfolgt weiterhin ihre Politik zur Stärkung ihres wirtschaftlichen, sozialen und territorialen Zusammenhalts, um eine harmonische Entwicklung der Union als Ganzes zu fördern.</w:t>
      </w:r>
    </w:p>
    <w:p>
      <w:r>
        <w:t xml:space="preserve">Die Union setzt sich insbesondere zum Ziel, die Unterschiede im Entwicklungsstand der verschiedenen Regionen und den Rückstand der am stärksten benachteiligten Gebiete zu verringern.</w:t>
      </w:r>
    </w:p>
    <w:p>
      <w:r>
        <w:t xml:space="preserve">Unter den betreffenden Gebieten gilt besondere Aufmerksamkeit den ländlichen Gebieten, den vom industriellen Wandel betroffenen Gebieten und den Gebieten mit schweren und dauerhaften natürlichen oder demografischen Nachteilen, wie den nördlichsten Regionen mit sehr geringer Bevölkerungsdichte sowie den Insel-, Grenz- und Bergregionen.</w:t>
      </w:r>
    </w:p>
    <w:p>
      <w:r>
        <w:rPr>
          <w:color w:val="555555"/>
          <w:sz w:val="17"/>
        </w:rPr>
        <w:t xml:space="preserve">Zitiervorschlag: Art 174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https://recht.nulegal.eu/gesetze/AEUV/174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