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172 AEUV — (ex-Artikel 156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Leitlinien und die übrigen Maßnahmen nach Artikel 171 Absatz 1 werden vom Europäischen Parlament und vom Rat gemäß dem ordentlichen Gesetzgebungsverfahren und nach Anhörung des Wirtschafts- und Sozialausschusses und des Ausschusses der Regionen festgelegt.</w:t>
      </w:r>
    </w:p>
    <w:p>
      <w:r>
        <w:t xml:space="preserve">Leitlinien und Vorhaben von gemeinsamem Interesse, die das Hoheitsgebiet eines Mitgliedstaats betreffen, bedürfen der Billigung des betroffenen Mitgliedstaats.</w:t>
      </w:r>
    </w:p>
    <w:p>
      <w:r>
        <w:rPr>
          <w:color w:val="555555"/>
          <w:sz w:val="17"/>
        </w:rPr>
        <w:t xml:space="preserve">Zitiervorschlag: Art 172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