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 achtet den Status, den Kirchen und religiöse Vereinigungen oder Gemeinschaften in den Mitgliedstaaten nach deren Rechtsvorschriften genießen, und beeinträchtigt ihn nicht.</w:t>
      </w:r>
    </w:p>
    <w:p>
      <w:r>
        <w:t xml:space="preserve">(2) Die Union achtet in gleicher Weise den Status, den weltanschauliche Gemeinschaften nach den einzelstaatlichen Rechtsvorschriften genießen.</w:t>
      </w:r>
    </w:p>
    <w:p>
      <w:r>
        <w:t xml:space="preserve">(3) Die Union pflegt mit diesen Kirchen und Gemeinschaften in Anerkennung ihrer Identität und ihres besonderen Beitrags einen offenen, transparenten und regelmäßigen Dialog.</w:t>
      </w:r>
    </w:p>
    <w:p>
      <w:r>
        <w:rPr>
          <w:color w:val="555555"/>
          <w:sz w:val="17"/>
        </w:rPr>
        <w:t xml:space="preserve">Zitiervorschlag: Art 17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