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168 AEUV — (ex-Artikel 152 EGV)</w:t>
      </w:r>
    </w:p>
    <w:p>
      <w:r>
        <w:rPr>
          <w:color w:val="555555"/>
          <w:sz w:val="18"/>
        </w:rPr>
        <w:t xml:space="preserve">AEUV</w:t>
      </w:r>
    </w:p>
    <w:p>
      <w:r>
        <w:rPr>
          <w:color w:val="555555"/>
          <w:sz w:val="18"/>
        </w:rPr>
        <w:t xml:space="preserve">Stand: 22.07.2026 (konsolidierte Textfassung, kein amtliches Inkrafttretensdatum)</w:t>
      </w:r>
    </w:p>
    <w:p>
      <w:r>
        <w:t xml:space="preserve">(1) Bei der Festlegung und Durchführung aller Unionspolitiken und -maßnahmen wird ein hohes Gesundheitsschutzniveau sichergestellt.</w:t>
      </w:r>
    </w:p>
    <w:p>
      <w:r>
        <w:t xml:space="preserve">Die Tätigkeit der Union ergänzt die Politik der Mitgliedstaaten und ist auf die Verbesserung der Gesundheit der Bevölkerung, die Verhütung von Humankrankheiten und die Beseitigung von Ursachen für die Gefährdung der körperlichen und geistigen Gesundheit gerichtet. Sie umfasst die Bekämpfung der weit verbreiteten schweren Krankheiten, wobei die Erforschung der Ursachen, der Übertragung und der Verhütung dieser Krankheiten sowie Gesundheitsinformation und -erziehung gefördert werden; außerdem umfasst sie die Beobachtung, frühzeitige Meldung und Bekämpfung schwerwiegender grenzüberschreitender Gesundheitsgefahren.</w:t>
      </w:r>
    </w:p>
    <w:p>
      <w:r>
        <w:t xml:space="preserve">Die Union ergänzt die Maßnahmen der Mitgliedstaaten zur Verringerung drogenkonsumbedingter Gesundheitsschäden einschließlich der Informations- und Vorbeugungsmaßnahmen.</w:t>
      </w:r>
    </w:p>
    <w:p>
      <w:r>
        <w:t xml:space="preserve">(2) Die Union fördert die Zusammenarbeit zwischen den Mitgliedstaaten in den in diesem Artikel genannten Bereichen und unterstützt erforderlichenfalls deren Tätigkeit. Sie fördert insbesondere die Zusammenarbeit zwischen den Mitgliedstaaten, die darauf abzielt, die Komplementarität ihrer Gesundheitsdienste in den Grenzgebieten zu verbessern.</w:t>
      </w:r>
    </w:p>
    <w:p>
      <w:r>
        <w:t xml:space="preserve">Die Mitgliedstaaten koordinieren untereinander im Benehmen mit der Kommission ihre Politiken und Programme in den in Absatz 1 genannten Bereichen. Die Kommission kann in enger Verbindung mit den Mitgliedstaaten alle Initiativen ergreifen, die dieser Koordinierung förderlich sind, insbesondere Initiativen, die darauf abzielen, Leitlinien und Indikatoren festzulegen, den Austausch bewährter Verfahren durchzuführen und die erforderlichen Elemente für eine regelmäßige Überwachung und Bewertung auszuarbeiten. Das Europäische Parlament wird in vollem Umfang unterrichtet.</w:t>
      </w:r>
    </w:p>
    <w:p>
      <w:r>
        <w:t xml:space="preserve">(3) Die Union und die Mitgliedstaaten fördern die Zusammenarbeit mit dritten Ländern und den für das Gesundheitswesen zuständigen internationalen Organisationen.</w:t>
      </w:r>
    </w:p>
    <w:p>
      <w:r>
        <w:t xml:space="preserve">(4) Abweichend von Artikel 2 Absatz 5 und Artikel 6 Buchstabe a tragen das Europäische Parlament und der Rat nach Artikel 4 Absatz 2 Buchstabe k gemäß dem ordentlichen Gesetzgebungsverfahren und nach Anhörung des Wirtschafts- und Sozialausschusses sowie des Ausschusses der Regionen mit folgenden Maßnahmen zur Verwirklichung der Ziele dieses Artikels bei, um den gemeinsamen Sicherheitsanliegen Rechnung zu tragen:</w:t>
      </w:r>
    </w:p>
    <w:p>
      <w:r>
        <w:t xml:space="preserve">a) Maßnahmen zur Festlegung hoher Qualitäts- und Sicherheitsstandards für Organe und Substanzen menschlichen Ursprungs sowie für Blut und Blutderivate; diese Maßnahmen hindern die Mitgliedstaaten nicht daran, strengere Schutzmaßnahmen beizubehalten oder einzuführen;</w:t>
      </w:r>
    </w:p>
    <w:p>
      <w:r>
        <w:t xml:space="preserve">b) Maßnahmen in den Bereichen Veterinärwesen und Pflanzenschutz, die unmittelbar den Schutz der Gesundheit der Bevölkerung zum Ziel haben;</w:t>
      </w:r>
    </w:p>
    <w:p>
      <w:r>
        <w:t xml:space="preserve">c) Maßnahmen zur Festlegung hoher Qualitäts- und Sicherheitsstandards für Arzneimittel und Medizinprodukte.</w:t>
      </w:r>
    </w:p>
    <w:p>
      <w:r>
        <w:t xml:space="preserve">(5) Das Europäische Parlament und der Rat können unter Ausschluss jeglicher Harmonisierung der Rechtsvorschriften der Mitgliedstaaten gemäß dem ordentlichen Gesetzgebungsverfahren und nach Anhörung des Wirtschafts- und Sozialausschusses und des Ausschusses der Regionen auch Fördermaßnahmen zum Schutz und zur Verbesserung der menschlichen Gesundheit sowie insbesondere zur Bekämpfung der weit verbreiteten schweren grenzüberschreitenden Krankheiten, Maßnahmen zur Beobachtung, frühzeitigen Meldung und Bekämpfung schwerwiegender grenzüberschreitender Gesundheitsgefahren sowie Maßnahmen, die unmittelbar den Schutz der Gesundheit der Bevölkerung vor Tabakkonsum und Alkoholmissbrauch zum Ziel haben, erlassen.</w:t>
      </w:r>
    </w:p>
    <w:p>
      <w:r>
        <w:t xml:space="preserve">(6) Der Rat kann ferner auf Vorschlag der Kommission für die in diesem Artikel genannten Zwecke Empfehlungen erlassen.</w:t>
      </w:r>
    </w:p>
    <w:p>
      <w:r>
        <w:t xml:space="preserve">(7) Bei der Tätigkeit der Union wird die Verantwortung der Mitgliedstaaten für die Festlegung ihrer Gesundheitspolitik sowie für die Organisation des Gesundheitswesens und die medizinische Versorgung gewahrt. Die Verantwortung der Mitgliedstaaten umfasst die Verwaltung des Gesundheitswesens und der medizinischen Versorgung sowie die Zuweisung der dafür bereitgestellten Mittel. Die Maßnahmen nach Absatz 4 Buchstabe a lassen die einzelstaatlichen Regelungen über die Spende oder die medizinische Verwendung von Organen und Blut unberührt.</w:t>
      </w:r>
    </w:p>
    <w:p>
      <w:r>
        <w:rPr>
          <w:color w:val="555555"/>
          <w:sz w:val="17"/>
        </w:rPr>
        <w:t xml:space="preserve">Zitiervorschlag: Art 168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https://recht.nulegal.eu/gesetze/AEUV/168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