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167 AEUV — (ex-Artikel 151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Union leistet einen Beitrag zur Entfaltung der Kulturen der Mitgliedstaaten unter Wahrung ihrer nationalen und regionalen Vielfalt sowie gleichzeitiger Hervorhebung des gemeinsamen kulturellen Erbes.</w:t>
      </w:r>
    </w:p>
    <w:p>
      <w:r>
        <w:t xml:space="preserve">(2) Die Union fördert durch ihre Tätigkeit die Zusammenarbeit zwischen den Mitgliedstaaten und unterstützt und ergänzt erforderlichenfalls deren Tätigkeit in folgenden Bereichen:</w:t>
      </w:r>
    </w:p>
    <w:p>
      <w:r>
        <w:t xml:space="preserve">— Verbesserung der Kenntnis und Verbreitung der Kultur und Geschichte der europäischen Völker,</w:t>
      </w:r>
    </w:p>
    <w:p>
      <w:r>
        <w:t xml:space="preserve">— Erhaltung und Schutz des kulturellen Erbes von europäischer Bedeutung,</w:t>
      </w:r>
    </w:p>
    <w:p>
      <w:r>
        <w:t xml:space="preserve">— nichtkommerzieller Kulturaustausch,</w:t>
      </w:r>
    </w:p>
    <w:p>
      <w:r>
        <w:t xml:space="preserve">— künstlerisches und literarisches Schaffen, einschließlich im audiovisuellen Bereich.</w:t>
      </w:r>
    </w:p>
    <w:p>
      <w:r>
        <w:t xml:space="preserve">(3) Die Union und die Mitgliedstaaten fördern die Zusammenarbeit mit dritten Ländern und den für den Kulturbereich zuständigen internationalen Organisationen, insbesondere mit dem Europarat.</w:t>
      </w:r>
    </w:p>
    <w:p>
      <w:r>
        <w:t xml:space="preserve">(4) Die Union trägt bei ihrer Tätigkeit aufgrund anderer Bestimmungen der Verträge den kulturellen Aspekten Rechnung, insbesondere zur Wahrung und Förderung der Vielfalt ihrer Kulturen.</w:t>
      </w:r>
    </w:p>
    <w:p>
      <w:r>
        <w:t xml:space="preserve">(5) Als Beitrag zur Verwirklichung der Ziele dieses Artikels</w:t>
      </w:r>
    </w:p>
    <w:p>
      <w:r>
        <w:t xml:space="preserve">— erlassen das Europäische Parlament und der Rat gemäß dem ordentlichen Gesetzgebungsverfahren und nach Anhörung des Ausschusses der Regionen Fördermaßnahmen unter Ausschluss jeglicher Harmonisierung der Rechts- und Verwaltungsvorschriften der Mitgliedstaaten.</w:t>
      </w:r>
    </w:p>
    <w:p>
      <w:r>
        <w:t xml:space="preserve">— erlässt der Rat auf Vorschlag der Kommission Empfehlungen.</w:t>
      </w:r>
    </w:p>
    <w:p>
      <w:r>
        <w:rPr>
          <w:color w:val="555555"/>
          <w:sz w:val="17"/>
        </w:rPr>
        <w:t xml:space="preserve">Zitiervorschlag: Art 167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