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166 AEUV — (ex-Artikel 150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Union führt eine Politik der beruflichen Bildung, welche die Maßnahmen der Mitgliedstaaten unter strikter Beachtung der Verantwortung der Mitgliedstaaten für Inhalt und Gestaltung der beruflichen Bildung unterstützt und ergänzt.</w:t>
      </w:r>
    </w:p>
    <w:p>
      <w:r>
        <w:t xml:space="preserve">(2) Die Tätigkeit der Union hat folgende Ziele:</w:t>
      </w:r>
    </w:p>
    <w:p>
      <w:r>
        <w:t xml:space="preserve">— Erleichterung der Anpassung an die industriellen Wandlungsprozesse, insbesondere durch berufliche Bildung und Umschulung;</w:t>
      </w:r>
    </w:p>
    <w:p>
      <w:r>
        <w:t xml:space="preserve">— Verbesserung der beruflichen Erstausbildung und Weiterbildung zur Erleichterung der beruflichen Eingliederung und Wiedereingliederung in den Arbeitsmarkt;</w:t>
      </w:r>
    </w:p>
    <w:p>
      <w:r>
        <w:t xml:space="preserve">— Erleichterung der Aufnahme einer beruflichen Bildung sowie Förderung der Mobilität der Ausbilder und der in beruflicher Bildung befindlichen Personen, insbesondere der Jugendlichen;</w:t>
      </w:r>
    </w:p>
    <w:p>
      <w:r>
        <w:t xml:space="preserve">— Förderung der Zusammenarbeit in Fragen der beruflichen Bildung zwischen Unterrichtsanstalten und Unternehmen;</w:t>
      </w:r>
    </w:p>
    <w:p>
      <w:r>
        <w:t xml:space="preserve">— Ausbau des Informations- und Erfahrungsaustauschs über gemeinsame Probleme im Rahmen der Berufsbildungssysteme der Mitgliedstaaten.</w:t>
      </w:r>
    </w:p>
    <w:p>
      <w:r>
        <w:t xml:space="preserve">(3) Die Union und die Mitgliedstaaten fördern die Zusammenarbeit mit dritten Ländern und den für die berufliche Bildung zuständigen internationalen Organisationen.</w:t>
      </w:r>
    </w:p>
    <w:p>
      <w:r>
        <w:t xml:space="preserve">(4) Das Europäische Parlament und der Rat erlassen gemäß dem ordentlichen Gesetzgebungsverfahren und nach Anhörung des Wirtschafts- und Sozialausschusses sowie des Ausschusses der Regionen Maßnahmen, die zur Verwirklichung der Ziele dieses Artikels beitragen, unter Ausschluss jeglicher Harmonisierung der Rechts- und Verwaltungsvorschriften der Mitgliedstaaten, und der Rat erlässt auf Vorschlag der Kommission Empfehlungen.</w:t>
      </w:r>
    </w:p>
    <w:p>
      <w:r>
        <w:rPr>
          <w:color w:val="555555"/>
          <w:sz w:val="17"/>
        </w:rPr>
        <w:t xml:space="preserve">Zitiervorschlag: Art 166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