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163 AEUV — (ex-Artikel 147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Verwaltung des Fonds obliegt der Kommission.</w:t>
      </w:r>
    </w:p>
    <w:p>
      <w:r>
        <w:t xml:space="preserve">Die Kommission wird hierbei von einem Ausschuss unterstützt, der aus Vertretern der Regierungen sowie der Arbeitgeber- und der Arbeitnehmerverbände besteht; den Vorsitz führt ein Mitglied der Kommission.</w:t>
      </w:r>
    </w:p>
    <w:p>
      <w:r>
        <w:rPr>
          <w:color w:val="555555"/>
          <w:sz w:val="17"/>
        </w:rPr>
        <w:t xml:space="preserve">Zitiervorschlag: Art 163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https://recht.nulegal.eu/gesetze/AEUV/163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