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162 AEUV — (ex-Artikel 146 EGV)</w:t>
      </w:r>
    </w:p>
    <w:p>
      <w:r>
        <w:rPr>
          <w:color w:val="555555"/>
          <w:sz w:val="18"/>
        </w:rPr>
        <w:t xml:space="preserve">AEUV</w:t>
      </w:r>
    </w:p>
    <w:p>
      <w:r>
        <w:rPr>
          <w:color w:val="555555"/>
          <w:sz w:val="18"/>
        </w:rPr>
        <w:t xml:space="preserve">Stand: 22.07.2026 (konsolidierte Textfassung, kein amtliches Inkrafttretensdatum)</w:t>
      </w:r>
    </w:p>
    <w:p>
      <w:r>
        <w:t xml:space="preserve">Um die Beschäftigungsmöglichkeiten der Arbeitskräfte im Binnenmarkt zu verbessern und damit zur Hebung der Lebenshaltung beizutragen, wird nach Maßgabe der folgenden Bestimmungen ein Europäischer Sozialfonds errichtet, dessen Ziel es ist, innerhalb der Union die berufliche Verwendbarkeit und die örtliche und berufliche Mobilität der Arbeitskräfte zu fördern sowie die Anpassung an die industriellen Wandlungsprozesse und an Veränderungen der Produktionssysteme insbesondere durch berufliche Bildung und Umschulung zu erleichtern.</w:t>
      </w:r>
    </w:p>
    <w:p>
      <w:r>
        <w:rPr>
          <w:color w:val="555555"/>
          <w:sz w:val="17"/>
        </w:rPr>
        <w:t xml:space="preserve">Zitiervorschlag: Art 162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