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161 AEUV — (ex-Artikel 145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Jahresbericht der Kommission an das Europäische Parlament hat stets ein besonderes Kapitel über die Entwicklung der sozialen Lage in der Union zu enthalten.</w:t>
      </w:r>
    </w:p>
    <w:p>
      <w:r>
        <w:t xml:space="preserve">Das Europäische Parlament kann die Kommission auffordern, Berichte über besondere, die soziale Lage betreffende Fragen auszuarbeiten.</w:t>
      </w:r>
    </w:p>
    <w:p>
      <w:r>
        <w:rPr>
          <w:color w:val="555555"/>
          <w:sz w:val="17"/>
        </w:rPr>
        <w:t xml:space="preserve">Zitiervorschlag: Art 161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https://recht.nulegal.eu/gesetze/AEUV/161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