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159 AEUV — (ex-Artikel 143 EGV)</w:t>
      </w:r>
    </w:p>
    <w:p>
      <w:r>
        <w:rPr>
          <w:color w:val="555555"/>
          <w:sz w:val="18"/>
        </w:rPr>
        <w:t xml:space="preserve">AEUV</w:t>
      </w:r>
    </w:p>
    <w:p>
      <w:r>
        <w:rPr>
          <w:color w:val="555555"/>
          <w:sz w:val="18"/>
        </w:rPr>
        <w:t xml:space="preserve">Stand: 22.07.2026 (konsolidierte Textfassung, kein amtliches Inkrafttretensdatum)</w:t>
      </w:r>
    </w:p>
    <w:p>
      <w:r>
        <w:t xml:space="preserve">Die Kommission erstellt jährlich einen Bericht über den Stand der Verwirklichung der in Artikel 151 genannten Ziele sowie über die demografische Lage in der Union. Sie übermittelt diesen Bericht dem Europäischen Parlament, dem Rat und dem Wirtschafts- und Sozialausschuss.</w:t>
      </w:r>
    </w:p>
    <w:p>
      <w:r>
        <w:rPr>
          <w:color w:val="555555"/>
          <w:sz w:val="17"/>
        </w:rPr>
        <w:t xml:space="preserve">Zitiervorschlag: Art 159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https://recht.nulegal.eu/gesetze/AEUV/159</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