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157 AEUV — (ex-Artikel 141 EGV)</w:t>
      </w:r>
    </w:p>
    <w:p>
      <w:r>
        <w:rPr>
          <w:color w:val="555555"/>
          <w:sz w:val="18"/>
        </w:rPr>
        <w:t xml:space="preserve">AEUV</w:t>
      </w:r>
    </w:p>
    <w:p>
      <w:r>
        <w:rPr>
          <w:color w:val="555555"/>
          <w:sz w:val="18"/>
        </w:rPr>
        <w:t xml:space="preserve">Stand: 22.07.2026 (konsolidierte Textfassung, kein amtliches Inkrafttretensdatum)</w:t>
      </w:r>
    </w:p>
    <w:p>
      <w:r>
        <w:t xml:space="preserve">(1) Jeder Mitgliedstaat stellt die Anwendung des Grundsatzes des gleichen Entgelts für Männer und Frauen bei gleicher oder gleichwertiger Arbeit sicher.</w:t>
      </w:r>
    </w:p>
    <w:p>
      <w:r>
        <w:t xml:space="preserve">(2) Unter "Entgelt" im Sinne dieses Artikels sind die üblichen Grund- oder Mindestlöhne und -gehälter sowie alle sonstigen Vergütungen zu verstehen, die der Arbeitgeber aufgrund des Dienstverhältnisses dem Arbeitnehmer unmittelbar oder mittelbar in bar oder in Sachleistungen zahlt.</w:t>
      </w:r>
    </w:p>
    <w:p>
      <w:r>
        <w:t xml:space="preserve">Gleichheit des Arbeitsentgelts ohne Diskriminierung aufgrund des Geschlechts bedeutet,</w:t>
      </w:r>
    </w:p>
    <w:p>
      <w:r>
        <w:t xml:space="preserve">a) dass das Entgelt für eine gleiche nach Akkord bezahlte Arbeit aufgrund der gleichen Maßeinheit festgesetzt wird,</w:t>
      </w:r>
    </w:p>
    <w:p>
      <w:r>
        <w:t xml:space="preserve">b) dass für eine nach Zeit bezahlte Arbeit das Entgelt bei gleichem Arbeitsplatz gleich ist.</w:t>
      </w:r>
    </w:p>
    <w:p>
      <w:r>
        <w:t xml:space="preserve">(3) Das Europäische Parlament und der Rat beschließen gemäß dem ordentlichen Gesetzgebungsverfahren und nach Anhörung des Wirtschafts- und Sozialausschusses Maßnahmen zur Gewährleistung der Anwendung des Grundsatzes der Chancengleichheit und der Gleichbehandlung von Männern und Frauen in Arbeits- und Beschäftigungsfragen, einschließlich des Grundsatzes des gleichen Entgelts bei gleicher oder gleichwertiger Arbeit.</w:t>
      </w:r>
    </w:p>
    <w:p>
      <w:r>
        <w:t xml:space="preserve">(4) Im Hinblick auf die effektive Gewährleistung der vollen Gleichstellung von Männern und Frauen im Arbeitsleben hindert der Grundsatz der Gleichbehandlung die Mitgliedstaaten nicht daran, zur Erleichterung der Berufstätigkeit des unterrepräsentierten Geschlechts oder zur Verhinderung bzw. zum Ausgleich von Benachteiligungen in der beruflichen Laufbahn spezifische Vergünstigungen beizubehalten oder zu beschließen.</w:t>
      </w:r>
    </w:p>
    <w:p>
      <w:r>
        <w:rPr>
          <w:color w:val="555555"/>
          <w:sz w:val="17"/>
        </w:rPr>
        <w:t xml:space="preserve">Zitiervorschlag: Art 157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