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155 AEUV — (ex-Artikel 139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Der Dialog zwischen den Sozialpartnern auf Unionsebene kann, falls sie es wünschen, zur Herstellung vertraglicher Beziehungen einschließlich des Abschlusses von Vereinbarungen führen.</w:t>
      </w:r>
    </w:p>
    <w:p>
      <w:r>
        <w:t xml:space="preserve">(2) Die Durchführung der auf Unionsebene geschlossenen Vereinbarungen erfolgt entweder nach den jeweiligen Verfahren und Gepflogenheiten der Sozialpartner und der Mitgliedstaaten oder – in den durch Artikel 153 erfassten Bereichen – auf gemeinsamen Antrag der Unterzeichnerparteien durch einen Beschluss des Rates auf Vorschlag der Kommission. Das Europäische Parlament wird unterrichtet.</w:t>
      </w:r>
    </w:p>
    <w:p>
      <w:r>
        <w:t xml:space="preserve">Der Rat beschließt einstimmig, sofern die betreffende Vereinbarung eine oder mehrere Bestimmungen betreffend einen der Bereiche enthält, für die nach Artikel 153 Absatz 2 Einstimmigkeit erforderlich ist.</w:t>
      </w:r>
    </w:p>
    <w:p>
      <w:r>
        <w:rPr>
          <w:color w:val="555555"/>
          <w:sz w:val="17"/>
        </w:rPr>
        <w:t xml:space="preserve">Zitiervorschlag: Art 155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https://recht.nulegal.eu/gesetze/AEUV/155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