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152 AEUV</w:t>
      </w:r>
    </w:p>
    <w:p>
      <w:r>
        <w:rPr>
          <w:color w:val="555555"/>
          <w:sz w:val="18"/>
        </w:rPr>
        <w:t xml:space="preserve">AEUV</w:t>
      </w:r>
    </w:p>
    <w:p>
      <w:r>
        <w:rPr>
          <w:color w:val="555555"/>
          <w:sz w:val="18"/>
        </w:rPr>
        <w:t xml:space="preserve">Stand: 22.07.2026 (konsolidierte Textfassung, kein amtliches Inkrafttretensdatum)</w:t>
      </w:r>
    </w:p>
    <w:p>
      <w:r>
        <w:t xml:space="preserve">Die Union anerkennt und fördert die Rolle der Sozialpartner auf Ebene der Union unter Berücksichtigung der Unterschiedlichkeit der nationalen Systeme. Sie fördert den sozialen Dialog und achtet dabei die Autonomie der Sozialpartner.</w:t>
      </w:r>
    </w:p>
    <w:p>
      <w:r>
        <w:t xml:space="preserve">Der Dreigliedrige Sozialgipfel für Wachstum und Beschäftigung trägt zum sozialen Dialog bei.</w:t>
      </w:r>
    </w:p>
    <w:p>
      <w:r>
        <w:rPr>
          <w:color w:val="555555"/>
          <w:sz w:val="17"/>
        </w:rPr>
        <w:t xml:space="preserve">Zitiervorschlag: Art 152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