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149 AEUV — (ex-Artikel 129 EGV)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und der Rat können gemäß dem ordentlichen Gesetzgebungsverfahren und nach Anhörung des Wirtschafts- und Sozialausschusses sowie des Ausschusses der Regionen Anreizmaßnahmen zur Förderung der Zusammenarbeit zwischen den Mitgliedstaaten und zur Unterstützung ihrer Beschäftigungsmaßnahmen durch Initiativen beschließen, die darauf abzielen, den Austausch von Informationen und bewährten Verfahren zu entwickeln, vergleichende Analysen und Gutachten bereitzustellen sowie innovative Ansätze zu fördern und Erfahrungen zu bewerten, und zwar insbesondere durch den Rückgriff auf Pilotvorhaben.</w:t>
      </w:r>
    </w:p>
    <w:p>
      <w:r>
        <w:t xml:space="preserve">Diese Maßnahmen schließen keinerlei Harmonisierung der Rechts- und Verwaltungsvorschriften der Mitgliedstaaten ein.</w:t>
      </w:r>
    </w:p>
    <w:p>
      <w:r>
        <w:rPr>
          <w:color w:val="555555"/>
          <w:sz w:val="17"/>
        </w:rPr>
        <w:t xml:space="preserve">Zitiervorschlag: Art 149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https://recht.nulegal.eu/gesetze/AEUV/149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