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147 AEUV — (ex-Artikel 127 EGV)</w:t>
      </w:r>
    </w:p>
    <w:p>
      <w:r>
        <w:rPr>
          <w:color w:val="555555"/>
          <w:sz w:val="18"/>
        </w:rPr>
        <w:t xml:space="preserve">AEUV</w:t>
      </w:r>
    </w:p>
    <w:p>
      <w:r>
        <w:rPr>
          <w:color w:val="555555"/>
          <w:sz w:val="18"/>
        </w:rPr>
        <w:t xml:space="preserve">Stand: 22.07.2026 (konsolidierte Textfassung, kein amtliches Inkrafttretensdatum)</w:t>
      </w:r>
    </w:p>
    <w:p>
      <w:r>
        <w:t xml:space="preserve">(1) Die Union trägt zu einem hohen Beschäftigungsniveau bei, indem sie die Zusammenarbeit zwischen den Mitgliedstaaten fördert und deren Maßnahmen in diesem Bereich unterstützt und erforderlichenfalls ergänzt. Hierbei wird die Zuständigkeit der Mitgliedstaaten beachtet.</w:t>
      </w:r>
    </w:p>
    <w:p>
      <w:r>
        <w:t xml:space="preserve">(2) Das Ziel eines hohen Beschäftigungsniveaus wird bei der Festlegung und Durchführung der Unionspolitiken und -maßnahmen berücksichtigt.</w:t>
      </w:r>
    </w:p>
    <w:p>
      <w:r>
        <w:rPr>
          <w:color w:val="555555"/>
          <w:sz w:val="17"/>
        </w:rPr>
        <w:t xml:space="preserve">Zitiervorschlag: Art 147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