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146 AEUV — (ex-Artikel 126 EGV)</w:t>
      </w:r>
    </w:p>
    <w:p>
      <w:r>
        <w:rPr>
          <w:color w:val="555555"/>
          <w:sz w:val="18"/>
        </w:rPr>
        <w:t xml:space="preserve">AEUV</w:t>
      </w:r>
    </w:p>
    <w:p>
      <w:r>
        <w:rPr>
          <w:color w:val="555555"/>
          <w:sz w:val="18"/>
        </w:rPr>
        <w:t xml:space="preserve">Stand: 22.07.2026 (konsolidierte Textfassung, kein amtliches Inkrafttretensdatum)</w:t>
      </w:r>
    </w:p>
    <w:p>
      <w:r>
        <w:t xml:space="preserve">(1) Die Mitgliedstaaten tragen durch ihre Beschäftigungspolitik im Einklang mit den nach Artikel 121 Absatz 2 verabschiedeten Grundzügen der Wirtschaftspolitik der Mitgliedstaaten und der Union zur Erreichung der in Artikel 145 genannten Ziele bei.</w:t>
      </w:r>
    </w:p>
    <w:p>
      <w:r>
        <w:t xml:space="preserve">(2) Die Mitgliedstaaten betrachten die Förderung der Beschäftigung als Angelegenheit von gemeinsamem Interesse und stimmen ihre diesbezüglichen Tätigkeiten nach Maßgabe des Artikels 148 im Rat aufeinander ab, wobei die einzelstaatlichen Gepflogenheiten in Bezug auf die Verantwortung der Sozialpartner berücksichtigt werden.</w:t>
      </w:r>
    </w:p>
    <w:p>
      <w:r>
        <w:rPr>
          <w:color w:val="555555"/>
          <w:sz w:val="17"/>
        </w:rPr>
        <w:t xml:space="preserve">Zitiervorschlag: Art 146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https://recht.nulegal.eu/gesetze/AEUV/146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