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145 AEUV — (ex-Artikel 125 EGV)</w:t>
      </w:r>
    </w:p>
    <w:p>
      <w:r>
        <w:rPr>
          <w:color w:val="555555"/>
          <w:sz w:val="18"/>
        </w:rPr>
        <w:t xml:space="preserve">AEUV</w:t>
      </w:r>
    </w:p>
    <w:p>
      <w:r>
        <w:rPr>
          <w:color w:val="555555"/>
          <w:sz w:val="18"/>
        </w:rPr>
        <w:t xml:space="preserve">Stand: 22.07.2026 (konsolidierte Textfassung, kein amtliches Inkrafttretensdatum)</w:t>
      </w:r>
    </w:p>
    <w:p>
      <w:r>
        <w:t xml:space="preserve">Die Mitgliedstaaten und die Union arbeiten nach diesem Titel auf die Entwicklung einer koordinierten Beschäftigungsstrategie und insbesondere auf die Förderung der Qualifizierung, Ausbildung und Anpassungsfähigkeit der Arbeitnehmer sowie der Fähigkeit der Arbeitsmärkte hin, auf die Erfordernisse des wirtschaftlichen Wandels zu reagieren, um die Ziele des Artikels 3 des Vertrags über die Europäische Union zu erreichen.</w:t>
      </w:r>
    </w:p>
    <w:p>
      <w:r>
        <w:rPr>
          <w:color w:val="555555"/>
          <w:sz w:val="17"/>
        </w:rPr>
        <w:t xml:space="preserve">Zitiervorschlag: Art 145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https://recht.nulegal.eu/gesetze/AEUV/145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