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142 AEUV — (ex-Artikel 124 Absatz 1 EGV)</w:t>
      </w:r>
    </w:p>
    <w:p>
      <w:r>
        <w:rPr>
          <w:color w:val="555555"/>
          <w:sz w:val="18"/>
        </w:rPr>
        <w:t xml:space="preserve">AEUV</w:t>
      </w:r>
    </w:p>
    <w:p>
      <w:r>
        <w:rPr>
          <w:color w:val="555555"/>
          <w:sz w:val="18"/>
        </w:rPr>
        <w:t xml:space="preserve">Stand: 22.07.2026 (konsolidierte Textfassung, kein amtliches Inkrafttretensdatum)</w:t>
      </w:r>
    </w:p>
    <w:p>
      <w:r>
        <w:t xml:space="preserve">Jeder Mitgliedstaat, für den eine Ausnahmeregelung gilt, behandelt seine Wechselkurspolitik als eine Angelegenheit von gemeinsamem Interesse. Er berücksichtigt dabei die Erfahrungen, die bei der Zusammenarbeit im Rahmen des Wechselkursmechanismus gesammelt worden sind.</w:t>
      </w:r>
    </w:p>
    <w:p>
      <w:r>
        <w:rPr>
          <w:color w:val="555555"/>
          <w:sz w:val="17"/>
        </w:rPr>
        <w:t xml:space="preserve">Zitiervorschlag: Art 142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