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141 AEUV — (ex-Artikel 123 Absatz 3 und ex-Artikel 117 Absatz 2 erster bis fünfter Gedankenstrich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Sofern und solange es Mitgliedstaaten gibt, für die eine Ausnahmeregelung gilt, wird unbeschadet des Artikels 129 Absatz 1 der in Artikel 44 der Satzung des ESZB und der EZB bezeichnete Erweiterte Rat der Europäischen Zentralbank als drittes Beschlussorgan der Europäischen Zentralbank errichtet.</w:t>
      </w:r>
    </w:p>
    <w:p>
      <w:r>
        <w:t xml:space="preserve">(2) Sofern und solange es Mitgliedstaaten gibt, für die eine Ausnahmeregelung gilt, ist es die Aufgabe der Europäischen Zentralbank, in Bezug auf diese Mitgliedstaaten</w:t>
      </w:r>
    </w:p>
    <w:p>
      <w:r>
        <w:t xml:space="preserve">— die Zusammenarbeit zwischen den nationalen Zentralbanken zu verstärken;</w:t>
      </w:r>
    </w:p>
    <w:p>
      <w:r>
        <w:t xml:space="preserve">— die Koordinierung der Geldpolitiken der Mitgliedstaaten mit dem Ziel zu verstärken, die Preisstabilität aufrechtzuerhalten;</w:t>
      </w:r>
    </w:p>
    <w:p>
      <w:r>
        <w:t xml:space="preserve">— das Funktionieren des Wechselkursmechanismus zu überwachen;</w:t>
      </w:r>
    </w:p>
    <w:p>
      <w:r>
        <w:t xml:space="preserve">— Konsultationen zu Fragen durchzuführen, die in die Zuständigkeit der nationalen Zentralbanken fallen und die Stabilität der Finanzinstitute und -märkte berühren;</w:t>
      </w:r>
    </w:p>
    <w:p>
      <w:r>
        <w:t xml:space="preserve">— die seinerzeitigen Aufgaben des Europäischen Fonds für währungspolitische Zusammenarbeit, die zuvor vom Europäischen Währungsinstitut übernommen worden waren, wahrzunehmen.</w:t>
      </w:r>
    </w:p>
    <w:p>
      <w:r>
        <w:rPr>
          <w:color w:val="555555"/>
          <w:sz w:val="17"/>
        </w:rPr>
        <w:t xml:space="preserve">Zitiervorschlag: Art 141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