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140 AEUV — (ex-Artikel 121 Absatz 1, ex-Artikel 122 Absatz 2 Satz 2 und ex-Artikel 123 Absatz 5 EGV))</w:t>
      </w:r>
    </w:p>
    <w:p>
      <w:r>
        <w:rPr>
          <w:color w:val="555555"/>
          <w:sz w:val="18"/>
        </w:rPr>
        <w:t xml:space="preserve">AEUV</w:t>
      </w:r>
    </w:p>
    <w:p>
      <w:r>
        <w:rPr>
          <w:color w:val="555555"/>
          <w:sz w:val="18"/>
        </w:rPr>
        <w:t xml:space="preserve">Stand: 22.07.2026 (konsolidierte Textfassung, kein amtliches Inkrafttretensdatum)</w:t>
      </w:r>
    </w:p>
    <w:p>
      <w:r>
        <w:t xml:space="preserve">(1) Mindestens einmal alle zwei Jahre oder auf Antrag eines Mitgliedstaats, für den eine Ausnahmeregelung gilt, berichten die Kommission und die Europäische Zentralbank dem Rat, inwieweit die Mitgliedstaaten, für die eine Ausnahmeregelung gilt, bei der Verwirklichung der Wirtschafts- und Währungsunion ihren Verpflichtungen bereits nachgekommen sind. In ihren Berichten wird auch die Frage geprüft, inwieweit die innerstaatlichen Rechtsvorschriften jedes einzelnen dieser Mitgliedstaaten einschließlich der Satzung der jeweiligen nationalen Zentralbank mit Artikel 130 und Artikel 131 sowie der Satzung des ESZB und der EZB vereinbar sind. Ferner wird darin geprüft, ob ein hoher Grad an dauerhafter Konvergenz erreicht ist; Maßstab hierfür ist, ob die einzelnen Mitgliedstaaten folgende Kriterien erfüllen:</w:t>
      </w:r>
    </w:p>
    <w:p>
      <w:r>
        <w:t xml:space="preserve">— Erreichung eines hohen Grades an Preisstabilität, ersichtlich aus einer Inflationsrate, die der Inflationsrate jener – höchstens drei – Mitgliedstaaten nahe kommt, die auf dem Gebiet der Preisstabilität das beste Ergebnis erzielt haben;</w:t>
      </w:r>
    </w:p>
    <w:p>
      <w:r>
        <w:t xml:space="preserve">— eine auf Dauer tragbare Finanzlage der öffentlichen Hand, ersichtlich aus einer öffentlichen Haushaltslage ohne übermäßiges Defizit im Sinne des Artikels 126 Absatz 6;</w:t>
      </w:r>
    </w:p>
    <w:p>
      <w:r>
        <w:t xml:space="preserve">— Einhaltung der normalen Bandbreiten des Wechselkursmechanismus des Europäischen Währungssystems seit mindestens zwei Jahren ohne Abwertung gegenüber dem Euro;</w:t>
      </w:r>
    </w:p>
    <w:p>
      <w:r>
        <w:t xml:space="preserve">— Dauerhaftigkeit der von dem Mitgliedstaat mit Ausnahmeregelung erreichten Konvergenz und seiner Teilnahme am Wechselkursmechanismus, die im Niveau der langfristigen Zinssätze zum Ausdruck kommt.</w:t>
      </w:r>
    </w:p>
    <w:p>
      <w:r>
        <w:t xml:space="preserve">Die vier Kriterien in diesem Absatz sowie die jeweils erforderliche Dauer ihrer Einhaltung sind in einem den Verträgen beigefügten Protokoll näher festgelegt. Die Berichte der Kommission und der Europäischen Zentralbank berücksichtigen auch die Ergebnisse bei der Integration der Märkte, den Stand und die Entwicklung der Leistungsbilanzen, die Entwicklung bei den Lohnstückkosten und andere Preisindizes.</w:t>
      </w:r>
    </w:p>
    <w:p>
      <w:r>
        <w:t xml:space="preserve">(2) Der Rat beschließt nach Anhörung des Europäischen Parlaments und nach Aussprache im Europäischen Rat auf Vorschlag der Kommission, welche der Mitgliedstaaten, für die eine Ausnahmeregelung gilt, die auf den Kriterien des Absatzes 1 beruhenden Voraussetzungen erfüllen, und hebt die Ausnahmeregelungen der betreffenden Mitgliedstaaten auf.</w:t>
      </w:r>
    </w:p>
    <w:p>
      <w:r>
        <w:t xml:space="preserve">Der Rat beschließt auf Empfehlung einer qualifizierten Mehrheit derjenigen seiner Mitglieder, die Mitgliedstaaten vertreten, deren Währung der Euro ist. Diese Mitglieder beschließen innerhalb von sechs Monaten nach Eingang des Vorschlags der Kommission beim Rat.</w:t>
      </w:r>
    </w:p>
    <w:p>
      <w:r>
        <w:t xml:space="preserve">Die in Unterabsatz 2 genannte qualifizierte Mehrheit dieser Mitglieder bestimmt sich nach Artikel 238 Absatz 3 Buchstabe a.</w:t>
      </w:r>
    </w:p>
    <w:p>
      <w:r>
        <w:t xml:space="preserve">(3) Wird nach dem Verfahren des Absatzes 2 beschlossen, eine Ausnahmeregelung aufzuheben, so legt der Rat aufgrund eines einstimmigen Beschlusses der Mitgliedstaaten, deren Währung der Euro ist, und des betreffenden Mitgliedstaats auf Vorschlag der Kommission und nach Anhörung der Europäischen Zentralbank den Kurs, zu dem dessen Währung durch den Euro ersetzt wird, unwiderruflich fest und ergreift die sonstigen erforderlichen Maßnahmen zur Einführung des Euro als einheitliche Währung in dem betreffenden Mitgliedstaat.</w:t>
      </w:r>
    </w:p>
    <w:p>
      <w:r>
        <w:rPr>
          <w:color w:val="555555"/>
          <w:sz w:val="17"/>
        </w:rPr>
        <w:t xml:space="preserve">Zitiervorschlag: Art 140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https://recht.nulegal.eu/gesetze/AEUV/140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